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6B63A" w14:textId="77777777" w:rsidR="00AF7FE0" w:rsidRDefault="00592770" w:rsidP="00592770">
      <w:pPr>
        <w:jc w:val="center"/>
        <w:rPr>
          <w:b/>
        </w:rPr>
      </w:pPr>
      <w:r w:rsidRPr="00AD2F80">
        <w:rPr>
          <w:b/>
        </w:rPr>
        <w:t>DETERMINATION AND FINDINGS</w:t>
      </w:r>
    </w:p>
    <w:p w14:paraId="1536B63B" w14:textId="77777777" w:rsidR="00592770" w:rsidRPr="00AD2F80" w:rsidRDefault="00592770" w:rsidP="00592770">
      <w:pPr>
        <w:jc w:val="center"/>
        <w:rPr>
          <w:b/>
        </w:rPr>
      </w:pPr>
      <w:r w:rsidRPr="00AD2F80">
        <w:rPr>
          <w:b/>
        </w:rPr>
        <w:t>FOR</w:t>
      </w:r>
    </w:p>
    <w:p w14:paraId="1536B63C" w14:textId="77777777" w:rsidR="00592770" w:rsidRPr="00AD2F80" w:rsidRDefault="00592770" w:rsidP="00592770">
      <w:pPr>
        <w:jc w:val="center"/>
        <w:rPr>
          <w:b/>
        </w:rPr>
      </w:pPr>
      <w:r w:rsidRPr="00AD2F80">
        <w:rPr>
          <w:b/>
        </w:rPr>
        <w:t>SOLE SOURCE PROCUREMENT</w:t>
      </w:r>
    </w:p>
    <w:p w14:paraId="1536B63D" w14:textId="77777777" w:rsidR="00592770" w:rsidRPr="00AD2F80" w:rsidRDefault="00592770" w:rsidP="00592770"/>
    <w:p w14:paraId="1536B63E" w14:textId="77777777" w:rsidR="00592770" w:rsidRDefault="00592770" w:rsidP="00592770"/>
    <w:p w14:paraId="1536B63F" w14:textId="77777777" w:rsidR="00430321" w:rsidRDefault="00430321" w:rsidP="00592770"/>
    <w:p w14:paraId="1536B640" w14:textId="77777777" w:rsidR="00D54889" w:rsidRDefault="00D54889" w:rsidP="00592770"/>
    <w:p w14:paraId="1536B641" w14:textId="77777777" w:rsidR="00592770" w:rsidRDefault="00592770" w:rsidP="00592770">
      <w:r>
        <w:t>1.</w:t>
      </w:r>
      <w:r>
        <w:tab/>
      </w:r>
      <w:r w:rsidRPr="00592770">
        <w:rPr>
          <w:b/>
          <w:u w:val="single"/>
        </w:rPr>
        <w:t>Authorization</w:t>
      </w:r>
      <w:r w:rsidR="00B76ACC" w:rsidRPr="004B3527">
        <w:rPr>
          <w:rStyle w:val="EndnoteReference"/>
          <w:b/>
          <w:color w:val="1F497D" w:themeColor="text2"/>
          <w:sz w:val="28"/>
          <w:szCs w:val="28"/>
          <w:u w:val="single"/>
        </w:rPr>
        <w:endnoteReference w:id="1"/>
      </w:r>
    </w:p>
    <w:p w14:paraId="1536B642" w14:textId="77777777" w:rsidR="00592770" w:rsidRDefault="00592770" w:rsidP="00592770"/>
    <w:p w14:paraId="1536B643" w14:textId="77777777" w:rsidR="00E21320" w:rsidRDefault="00ED6404" w:rsidP="00E21320">
      <w:pPr>
        <w:pStyle w:val="ListParagraph"/>
        <w:numPr>
          <w:ilvl w:val="0"/>
          <w:numId w:val="6"/>
        </w:numPr>
      </w:pPr>
      <w:r>
        <w:t>DC Law: 34-804</w:t>
      </w:r>
    </w:p>
    <w:p w14:paraId="1536B644" w14:textId="77777777" w:rsidR="00592770" w:rsidRDefault="00ED6404" w:rsidP="00E21320">
      <w:pPr>
        <w:pStyle w:val="ListParagraph"/>
        <w:numPr>
          <w:ilvl w:val="0"/>
          <w:numId w:val="6"/>
        </w:numPr>
      </w:pPr>
      <w:r>
        <w:t>DC Law: 34-801</w:t>
      </w:r>
    </w:p>
    <w:p w14:paraId="1536B645" w14:textId="77777777" w:rsidR="00ED6404" w:rsidRDefault="00ED6404" w:rsidP="00E21320">
      <w:pPr>
        <w:pStyle w:val="ListParagraph"/>
        <w:numPr>
          <w:ilvl w:val="0"/>
          <w:numId w:val="6"/>
        </w:numPr>
      </w:pPr>
      <w:r>
        <w:t>15 DCMR: §3700</w:t>
      </w:r>
    </w:p>
    <w:p w14:paraId="1536B646" w14:textId="77777777" w:rsidR="00AD2F80" w:rsidRDefault="00AD2F80" w:rsidP="00592770"/>
    <w:p w14:paraId="1536B647" w14:textId="77777777" w:rsidR="00592770" w:rsidRDefault="00592770" w:rsidP="00592770">
      <w:r>
        <w:t>2.</w:t>
      </w:r>
      <w:r>
        <w:tab/>
      </w:r>
      <w:r w:rsidR="005F5ABE">
        <w:rPr>
          <w:b/>
          <w:u w:val="single"/>
        </w:rPr>
        <w:t>Minimum Need</w:t>
      </w:r>
      <w:r>
        <w:t>:</w:t>
      </w:r>
    </w:p>
    <w:p w14:paraId="1536B648" w14:textId="77777777" w:rsidR="00592770" w:rsidRDefault="00592770" w:rsidP="00592770"/>
    <w:p w14:paraId="1536B649" w14:textId="7F4A704A" w:rsidR="00F25EEC" w:rsidRDefault="007C17AD" w:rsidP="00F67444">
      <w:pPr>
        <w:kinsoku w:val="0"/>
        <w:overflowPunct w:val="0"/>
        <w:autoSpaceDE w:val="0"/>
        <w:autoSpaceDN w:val="0"/>
        <w:adjustRightInd w:val="0"/>
        <w:spacing w:before="11"/>
        <w:ind w:left="720" w:right="393"/>
      </w:pPr>
      <w:r>
        <w:t xml:space="preserve">The Office of the People’s Counsel </w:t>
      </w:r>
      <w:r w:rsidR="00B034DE">
        <w:t xml:space="preserve">(OPC) </w:t>
      </w:r>
      <w:r>
        <w:t>requests the services o</w:t>
      </w:r>
      <w:r w:rsidR="00E44869">
        <w:t>f</w:t>
      </w:r>
      <w:r w:rsidR="00C5200B">
        <w:t xml:space="preserve"> WMATA</w:t>
      </w:r>
      <w:r w:rsidR="00103407">
        <w:t xml:space="preserve"> for fiscal year 20</w:t>
      </w:r>
      <w:r w:rsidR="00943D80">
        <w:t>2</w:t>
      </w:r>
      <w:r w:rsidR="00536D49">
        <w:t>3</w:t>
      </w:r>
      <w:r w:rsidR="009A369F">
        <w:t xml:space="preserve"> to provide </w:t>
      </w:r>
      <w:r w:rsidR="007F2EBD">
        <w:t>public transit fringe benefit</w:t>
      </w:r>
      <w:r w:rsidR="009A369F">
        <w:t xml:space="preserve"> services to eligible employees of OPC.</w:t>
      </w:r>
    </w:p>
    <w:p w14:paraId="1536B64A" w14:textId="77777777" w:rsidR="00F25EEC" w:rsidRDefault="00F25EEC" w:rsidP="00F67444">
      <w:pPr>
        <w:kinsoku w:val="0"/>
        <w:overflowPunct w:val="0"/>
        <w:autoSpaceDE w:val="0"/>
        <w:autoSpaceDN w:val="0"/>
        <w:adjustRightInd w:val="0"/>
        <w:spacing w:before="11"/>
        <w:ind w:left="720" w:right="393"/>
      </w:pPr>
    </w:p>
    <w:p w14:paraId="1536B64B" w14:textId="77777777" w:rsidR="00AA344D" w:rsidRDefault="00592770" w:rsidP="00AA344D">
      <w:r>
        <w:t>3.</w:t>
      </w:r>
      <w:r>
        <w:tab/>
      </w:r>
      <w:r w:rsidR="00AA344D" w:rsidRPr="00331A07">
        <w:rPr>
          <w:b/>
          <w:u w:val="single"/>
        </w:rPr>
        <w:t>Estimated Fair and Reasonable Price</w:t>
      </w:r>
      <w:r w:rsidR="00AA344D">
        <w:rPr>
          <w:b/>
        </w:rPr>
        <w:t>:</w:t>
      </w:r>
    </w:p>
    <w:p w14:paraId="1536B64C" w14:textId="77777777" w:rsidR="00592770" w:rsidRDefault="00592770" w:rsidP="00592770"/>
    <w:p w14:paraId="1536B64D" w14:textId="6991C06B" w:rsidR="00210C91" w:rsidRPr="000B5A5C" w:rsidRDefault="00210C91" w:rsidP="00210C91">
      <w:r>
        <w:tab/>
      </w:r>
      <w:r w:rsidR="00125D12">
        <w:t>$</w:t>
      </w:r>
      <w:r w:rsidR="00536D49">
        <w:t>10</w:t>
      </w:r>
      <w:r w:rsidR="001B53F3">
        <w:t>,0000</w:t>
      </w:r>
    </w:p>
    <w:p w14:paraId="1536B64E" w14:textId="77777777" w:rsidR="00592770" w:rsidRDefault="00592770" w:rsidP="00592770"/>
    <w:p w14:paraId="1536B64F" w14:textId="77777777" w:rsidR="00592770" w:rsidRDefault="00592770" w:rsidP="00592770">
      <w:r>
        <w:t>4.</w:t>
      </w:r>
      <w:r>
        <w:tab/>
      </w:r>
      <w:r w:rsidR="00AA344D" w:rsidRPr="0018684D">
        <w:rPr>
          <w:b/>
          <w:u w:val="single"/>
        </w:rPr>
        <w:t>Facts That Justify a Sole Source Procurement:</w:t>
      </w:r>
    </w:p>
    <w:p w14:paraId="1536B650" w14:textId="77777777" w:rsidR="00592770" w:rsidRDefault="00592770" w:rsidP="00592770"/>
    <w:p w14:paraId="1536B651" w14:textId="77777777" w:rsidR="00224182" w:rsidRPr="00517427" w:rsidRDefault="00224182" w:rsidP="00E1100F">
      <w:pPr>
        <w:pStyle w:val="NormalWeb"/>
        <w:numPr>
          <w:ilvl w:val="0"/>
          <w:numId w:val="5"/>
        </w:numPr>
        <w:jc w:val="both"/>
        <w:rPr>
          <w:rFonts w:ascii="Times Roman" w:hAnsi="Times Roman" w:cs="Calibri"/>
        </w:rPr>
      </w:pPr>
      <w:r w:rsidRPr="00017747">
        <w:rPr>
          <w:rFonts w:ascii="Times Roman" w:hAnsi="Times Roman" w:cs="Calibri"/>
          <w:color w:val="000000"/>
        </w:rPr>
        <w:t>The Office of the People's Counsel</w:t>
      </w:r>
      <w:r w:rsidR="00B034DE">
        <w:rPr>
          <w:rFonts w:ascii="Times Roman" w:hAnsi="Times Roman" w:cs="Calibri"/>
        </w:rPr>
        <w:t xml:space="preserve"> </w:t>
      </w:r>
      <w:r w:rsidRPr="00017747">
        <w:rPr>
          <w:rFonts w:ascii="Times Roman" w:hAnsi="Times Roman" w:cs="Calibri"/>
          <w:color w:val="000000"/>
        </w:rPr>
        <w:t xml:space="preserve">is an independent agency of the District of Columbia government. By law, it is the advocate for consumers of natural gas, electric and telephone services in the District. District of Columbia law designates the Office as a party to all utility-related proceedings before the Public Service Commission. The Office also represents the interests of District ratepayers before federal regulatory agencies. The Office is authorized to investigate the operation and valuation of utility companies independently of any pending </w:t>
      </w:r>
      <w:r w:rsidR="00683985">
        <w:rPr>
          <w:rFonts w:ascii="Times Roman" w:hAnsi="Times Roman" w:cs="Calibri"/>
          <w:color w:val="000000"/>
        </w:rPr>
        <w:t>proceedings.</w:t>
      </w:r>
      <w:r w:rsidRPr="00017747">
        <w:rPr>
          <w:rFonts w:ascii="Times Roman" w:hAnsi="Times Roman" w:cs="Calibri"/>
          <w:color w:val="000000"/>
        </w:rPr>
        <w:t xml:space="preserve"> </w:t>
      </w:r>
    </w:p>
    <w:p w14:paraId="1536B652" w14:textId="77777777" w:rsidR="00E95F2C" w:rsidRDefault="00E95F2C" w:rsidP="00E95F2C">
      <w:pPr>
        <w:pStyle w:val="ListParagraph"/>
      </w:pPr>
    </w:p>
    <w:p w14:paraId="1536B653" w14:textId="77777777" w:rsidR="000D4574" w:rsidRPr="00125D12" w:rsidRDefault="00E156F4" w:rsidP="00B034DE">
      <w:pPr>
        <w:pStyle w:val="ListParagraph"/>
        <w:numPr>
          <w:ilvl w:val="0"/>
          <w:numId w:val="5"/>
        </w:numPr>
        <w:autoSpaceDE w:val="0"/>
        <w:autoSpaceDN w:val="0"/>
        <w:adjustRightInd w:val="0"/>
        <w:jc w:val="both"/>
      </w:pPr>
      <w:r>
        <w:t xml:space="preserve">WMATA </w:t>
      </w:r>
      <w:r w:rsidR="007F2EBD">
        <w:t xml:space="preserve">provides public transportation in the Washington, DC metro area and is the sole provider and operator of the public transit fringe benefit program.  </w:t>
      </w:r>
    </w:p>
    <w:p w14:paraId="1536B654" w14:textId="77777777" w:rsidR="00125D12" w:rsidRDefault="00125D12" w:rsidP="00125D12">
      <w:pPr>
        <w:pStyle w:val="ListParagraph"/>
      </w:pPr>
    </w:p>
    <w:p w14:paraId="1536B655" w14:textId="7D50BDAB" w:rsidR="00E1100F" w:rsidRPr="005F2987" w:rsidRDefault="009A369F" w:rsidP="00D83436">
      <w:pPr>
        <w:pStyle w:val="ListParagraph"/>
        <w:numPr>
          <w:ilvl w:val="0"/>
          <w:numId w:val="5"/>
        </w:numPr>
        <w:autoSpaceDE w:val="0"/>
        <w:autoSpaceDN w:val="0"/>
        <w:adjustRightInd w:val="0"/>
        <w:jc w:val="both"/>
        <w:rPr>
          <w:rFonts w:ascii="Times Roman" w:hAnsi="Times Roman"/>
        </w:rPr>
      </w:pPr>
      <w:r>
        <w:t>OPC currently</w:t>
      </w:r>
      <w:r w:rsidR="00481605">
        <w:t xml:space="preserve"> </w:t>
      </w:r>
      <w:r>
        <w:t xml:space="preserve">utilizes WMATA’s </w:t>
      </w:r>
      <w:r w:rsidR="00DE58B7">
        <w:t xml:space="preserve">services for </w:t>
      </w:r>
      <w:r w:rsidR="007F2EBD">
        <w:t>public transit fringe benefits.</w:t>
      </w:r>
      <w:r>
        <w:t xml:space="preserve"> </w:t>
      </w:r>
      <w:r w:rsidR="007F2EBD">
        <w:t xml:space="preserve">OPC </w:t>
      </w:r>
      <w:r w:rsidR="00103407">
        <w:t xml:space="preserve">shall </w:t>
      </w:r>
      <w:r>
        <w:t xml:space="preserve">continue utilizing WMATA’s services </w:t>
      </w:r>
      <w:r w:rsidR="00103407">
        <w:t>to provide transit benefit services to eligible OPC employees for</w:t>
      </w:r>
      <w:r w:rsidR="00650867">
        <w:t xml:space="preserve"> </w:t>
      </w:r>
      <w:r>
        <w:t>fiscal year</w:t>
      </w:r>
      <w:r w:rsidR="005C1379">
        <w:t xml:space="preserve"> 202</w:t>
      </w:r>
      <w:r w:rsidR="00536D49">
        <w:t>3</w:t>
      </w:r>
      <w:r w:rsidR="005C1379">
        <w:t>.</w:t>
      </w:r>
    </w:p>
    <w:p w14:paraId="1536B656" w14:textId="77777777" w:rsidR="005F2987" w:rsidRDefault="005F2987" w:rsidP="005F2987">
      <w:pPr>
        <w:pStyle w:val="ListParagraph"/>
        <w:autoSpaceDE w:val="0"/>
        <w:autoSpaceDN w:val="0"/>
        <w:adjustRightInd w:val="0"/>
        <w:ind w:left="1440"/>
        <w:jc w:val="both"/>
        <w:rPr>
          <w:rFonts w:ascii="Times Roman" w:hAnsi="Times Roman"/>
        </w:rPr>
      </w:pPr>
    </w:p>
    <w:p w14:paraId="1536B657" w14:textId="77777777" w:rsidR="008032C0" w:rsidRPr="00D43777" w:rsidRDefault="00D43777" w:rsidP="008C2D5E">
      <w:pPr>
        <w:pStyle w:val="ListParagraph"/>
        <w:numPr>
          <w:ilvl w:val="0"/>
          <w:numId w:val="5"/>
        </w:numPr>
        <w:autoSpaceDE w:val="0"/>
        <w:autoSpaceDN w:val="0"/>
        <w:adjustRightInd w:val="0"/>
        <w:jc w:val="both"/>
        <w:rPr>
          <w:rFonts w:ascii="Times Roman" w:hAnsi="Times Roman"/>
        </w:rPr>
      </w:pPr>
      <w:r w:rsidRPr="00E35977">
        <w:t>It is for the reasons outlined herein that it is recommend</w:t>
      </w:r>
      <w:r>
        <w:t xml:space="preserve">ed that a sole source </w:t>
      </w:r>
      <w:r w:rsidRPr="00E35977">
        <w:t xml:space="preserve">contract be awarded to </w:t>
      </w:r>
      <w:r w:rsidR="009A369F">
        <w:t>WMATA</w:t>
      </w:r>
      <w:r w:rsidR="00430321">
        <w:t>.</w:t>
      </w:r>
      <w:r w:rsidRPr="00E35977">
        <w:tab/>
      </w:r>
      <w:r>
        <w:t xml:space="preserve"> </w:t>
      </w:r>
    </w:p>
    <w:p w14:paraId="1536B658" w14:textId="77777777" w:rsidR="0001355A" w:rsidRDefault="0001355A">
      <w:pPr>
        <w:rPr>
          <w:rFonts w:ascii="Times Roman" w:hAnsi="Times Roman"/>
        </w:rPr>
      </w:pPr>
    </w:p>
    <w:p w14:paraId="1536B659" w14:textId="77777777" w:rsidR="00430321" w:rsidRDefault="00430321">
      <w:pPr>
        <w:rPr>
          <w:rFonts w:ascii="Times Roman" w:hAnsi="Times Roman"/>
        </w:rPr>
      </w:pPr>
    </w:p>
    <w:p w14:paraId="1536B65A" w14:textId="77777777" w:rsidR="007F2EBD" w:rsidRDefault="007F2EBD">
      <w:pPr>
        <w:rPr>
          <w:rFonts w:ascii="Times Roman" w:hAnsi="Times Roman"/>
        </w:rPr>
      </w:pPr>
    </w:p>
    <w:p w14:paraId="1536B65B" w14:textId="77777777" w:rsidR="000E032B" w:rsidRDefault="000E032B" w:rsidP="00CE49CD"/>
    <w:p w14:paraId="1536B65C" w14:textId="77777777" w:rsidR="00CE49CD" w:rsidRPr="005B3C04" w:rsidRDefault="00CE49CD" w:rsidP="00CE49CD">
      <w:r>
        <w:t>5.</w:t>
      </w:r>
      <w:r>
        <w:tab/>
      </w:r>
      <w:r>
        <w:rPr>
          <w:b/>
          <w:u w:val="single"/>
        </w:rPr>
        <w:t xml:space="preserve">Certification by the </w:t>
      </w:r>
      <w:r w:rsidR="00393E71">
        <w:rPr>
          <w:b/>
          <w:u w:val="single"/>
        </w:rPr>
        <w:t>Office of the People’s Counsel</w:t>
      </w:r>
      <w:r>
        <w:t>:</w:t>
      </w:r>
    </w:p>
    <w:p w14:paraId="1536B65D" w14:textId="77777777" w:rsidR="00CE49CD" w:rsidRDefault="00CE49CD" w:rsidP="00CE49CD"/>
    <w:p w14:paraId="1536B65E" w14:textId="77777777" w:rsidR="00A844BC" w:rsidRPr="00937EDD" w:rsidRDefault="00CE49CD" w:rsidP="00A844BC">
      <w:pPr>
        <w:jc w:val="both"/>
        <w:rPr>
          <w:rFonts w:asciiTheme="minorHAnsi" w:hAnsiTheme="minorHAnsi" w:cstheme="minorHAnsi"/>
        </w:rPr>
      </w:pPr>
      <w:r>
        <w:tab/>
      </w:r>
      <w:r w:rsidR="00A844BC" w:rsidRPr="00937EDD">
        <w:rPr>
          <w:rFonts w:asciiTheme="minorHAnsi" w:hAnsiTheme="minorHAnsi" w:cstheme="minorHAnsi"/>
        </w:rPr>
        <w:t>I hereby certify that the above facts are accurate and complete.</w:t>
      </w:r>
    </w:p>
    <w:p w14:paraId="1536B65F" w14:textId="77777777" w:rsidR="00A844BC" w:rsidRPr="00937EDD" w:rsidRDefault="00A844BC" w:rsidP="00A844BC">
      <w:pPr>
        <w:jc w:val="both"/>
        <w:rPr>
          <w:rFonts w:asciiTheme="minorHAnsi" w:hAnsiTheme="minorHAnsi" w:cstheme="minorHAnsi"/>
        </w:rPr>
      </w:pPr>
    </w:p>
    <w:p w14:paraId="1536B660" w14:textId="77777777" w:rsidR="00A844BC" w:rsidRPr="00937EDD" w:rsidRDefault="00A844BC" w:rsidP="00A844BC">
      <w:pPr>
        <w:ind w:firstLine="720"/>
        <w:jc w:val="both"/>
        <w:rPr>
          <w:rFonts w:asciiTheme="minorHAnsi" w:hAnsiTheme="minorHAnsi" w:cstheme="minorHAnsi"/>
        </w:rPr>
      </w:pPr>
      <w:r w:rsidRPr="00937EDD">
        <w:rPr>
          <w:rFonts w:asciiTheme="minorHAnsi" w:hAnsiTheme="minorHAnsi" w:cstheme="minorHAnsi"/>
        </w:rPr>
        <w:t>___________________________</w:t>
      </w:r>
      <w:r w:rsidRPr="00937EDD">
        <w:rPr>
          <w:rFonts w:asciiTheme="minorHAnsi" w:hAnsiTheme="minorHAnsi" w:cstheme="minorHAnsi"/>
        </w:rPr>
        <w:tab/>
      </w:r>
      <w:r w:rsidRPr="00937EDD">
        <w:rPr>
          <w:rFonts w:asciiTheme="minorHAnsi" w:hAnsiTheme="minorHAnsi" w:cstheme="minorHAnsi"/>
        </w:rPr>
        <w:tab/>
      </w:r>
      <w:r w:rsidRPr="00937EDD">
        <w:rPr>
          <w:rFonts w:asciiTheme="minorHAnsi" w:hAnsiTheme="minorHAnsi" w:cstheme="minorHAnsi"/>
        </w:rPr>
        <w:tab/>
      </w:r>
      <w:r w:rsidRPr="00937EDD">
        <w:rPr>
          <w:rFonts w:asciiTheme="minorHAnsi" w:hAnsiTheme="minorHAnsi" w:cstheme="minorHAnsi"/>
        </w:rPr>
        <w:tab/>
        <w:t>_________________</w:t>
      </w:r>
    </w:p>
    <w:p w14:paraId="1536B661" w14:textId="77777777" w:rsidR="00A844BC" w:rsidRPr="00937EDD" w:rsidRDefault="00A618A3" w:rsidP="00A844BC">
      <w:pPr>
        <w:ind w:firstLine="720"/>
        <w:jc w:val="both"/>
        <w:rPr>
          <w:rFonts w:asciiTheme="minorHAnsi" w:hAnsiTheme="minorHAnsi" w:cstheme="minorHAnsi"/>
        </w:rPr>
      </w:pPr>
      <w:r>
        <w:rPr>
          <w:rFonts w:asciiTheme="minorHAnsi" w:hAnsiTheme="minorHAnsi" w:cstheme="minorHAnsi"/>
        </w:rPr>
        <w:t>Cherry Belle</w:t>
      </w:r>
      <w:r w:rsidR="00CB6B6C">
        <w:rPr>
          <w:rFonts w:asciiTheme="minorHAnsi" w:hAnsiTheme="minorHAnsi" w:cstheme="minorHAnsi"/>
        </w:rPr>
        <w:tab/>
      </w:r>
      <w:r w:rsidR="00A844BC">
        <w:rPr>
          <w:rFonts w:asciiTheme="minorHAnsi" w:hAnsiTheme="minorHAnsi" w:cstheme="minorHAnsi"/>
        </w:rPr>
        <w:tab/>
      </w:r>
      <w:r w:rsidR="00A844BC">
        <w:rPr>
          <w:rFonts w:asciiTheme="minorHAnsi" w:hAnsiTheme="minorHAnsi" w:cstheme="minorHAnsi"/>
        </w:rPr>
        <w:tab/>
      </w:r>
      <w:r w:rsidR="00A844BC">
        <w:rPr>
          <w:rFonts w:asciiTheme="minorHAnsi" w:hAnsiTheme="minorHAnsi" w:cstheme="minorHAnsi"/>
        </w:rPr>
        <w:tab/>
      </w:r>
      <w:r w:rsidR="00A844BC">
        <w:rPr>
          <w:rFonts w:asciiTheme="minorHAnsi" w:hAnsiTheme="minorHAnsi" w:cstheme="minorHAnsi"/>
        </w:rPr>
        <w:tab/>
      </w:r>
      <w:r w:rsidR="00A844BC">
        <w:rPr>
          <w:rFonts w:asciiTheme="minorHAnsi" w:hAnsiTheme="minorHAnsi" w:cstheme="minorHAnsi"/>
        </w:rPr>
        <w:tab/>
      </w:r>
      <w:r w:rsidR="00A844BC">
        <w:rPr>
          <w:rFonts w:asciiTheme="minorHAnsi" w:hAnsiTheme="minorHAnsi" w:cstheme="minorHAnsi"/>
        </w:rPr>
        <w:tab/>
      </w:r>
      <w:r w:rsidR="00A844BC" w:rsidRPr="00937EDD">
        <w:rPr>
          <w:rFonts w:asciiTheme="minorHAnsi" w:hAnsiTheme="minorHAnsi" w:cstheme="minorHAnsi"/>
        </w:rPr>
        <w:t>Date</w:t>
      </w:r>
    </w:p>
    <w:p w14:paraId="1536B662" w14:textId="5DE4ECE7" w:rsidR="00A844BC" w:rsidRPr="00937EDD" w:rsidRDefault="0030141F" w:rsidP="00A844BC">
      <w:pPr>
        <w:ind w:firstLine="720"/>
        <w:jc w:val="both"/>
        <w:rPr>
          <w:rFonts w:asciiTheme="minorHAnsi" w:hAnsiTheme="minorHAnsi" w:cstheme="minorHAnsi"/>
        </w:rPr>
      </w:pPr>
      <w:r>
        <w:rPr>
          <w:rFonts w:asciiTheme="minorHAnsi" w:hAnsiTheme="minorHAnsi" w:cstheme="minorHAnsi"/>
        </w:rPr>
        <w:t>Administrative Officer</w:t>
      </w:r>
    </w:p>
    <w:p w14:paraId="1536B663" w14:textId="77777777" w:rsidR="00A844BC" w:rsidRPr="00937EDD" w:rsidRDefault="00A844BC" w:rsidP="00A844BC">
      <w:pPr>
        <w:jc w:val="both"/>
        <w:rPr>
          <w:rFonts w:asciiTheme="minorHAnsi" w:hAnsiTheme="minorHAnsi" w:cstheme="minorHAnsi"/>
          <w:b/>
        </w:rPr>
      </w:pPr>
    </w:p>
    <w:p w14:paraId="1536B664" w14:textId="77777777" w:rsidR="00A844BC" w:rsidRPr="00937EDD" w:rsidRDefault="00A844BC" w:rsidP="00A844BC">
      <w:pPr>
        <w:jc w:val="center"/>
        <w:rPr>
          <w:rFonts w:asciiTheme="minorHAnsi" w:hAnsiTheme="minorHAnsi" w:cstheme="minorHAnsi"/>
          <w:b/>
        </w:rPr>
      </w:pPr>
      <w:r w:rsidRPr="00937EDD">
        <w:rPr>
          <w:rFonts w:asciiTheme="minorHAnsi" w:hAnsiTheme="minorHAnsi" w:cstheme="minorHAnsi"/>
          <w:b/>
        </w:rPr>
        <w:t>DETERMINATION</w:t>
      </w:r>
    </w:p>
    <w:p w14:paraId="1536B665" w14:textId="77777777" w:rsidR="00A844BC" w:rsidRPr="00937EDD" w:rsidRDefault="00A844BC" w:rsidP="00A844BC">
      <w:pPr>
        <w:jc w:val="both"/>
        <w:rPr>
          <w:rFonts w:asciiTheme="minorHAnsi" w:hAnsiTheme="minorHAnsi" w:cstheme="minorHAnsi"/>
          <w:b/>
        </w:rPr>
      </w:pPr>
    </w:p>
    <w:p w14:paraId="1536B666" w14:textId="77777777" w:rsidR="00A844BC" w:rsidRPr="00937EDD" w:rsidRDefault="00A844BC" w:rsidP="00A844BC">
      <w:pPr>
        <w:ind w:left="720"/>
        <w:jc w:val="both"/>
        <w:rPr>
          <w:rFonts w:asciiTheme="minorHAnsi" w:hAnsiTheme="minorHAnsi" w:cstheme="minorHAnsi"/>
        </w:rPr>
      </w:pPr>
      <w:r w:rsidRPr="00937EDD">
        <w:rPr>
          <w:rFonts w:asciiTheme="minorHAnsi" w:hAnsiTheme="minorHAnsi" w:cstheme="minorHAnsi"/>
        </w:rPr>
        <w:t xml:space="preserve">Based on the above findings and in accordance with the District of Columbia procurement regulations: </w:t>
      </w:r>
      <w:r w:rsidRPr="00937EDD">
        <w:rPr>
          <w:rFonts w:asciiTheme="minorHAnsi" w:hAnsiTheme="minorHAnsi" w:cstheme="minorHAnsi"/>
          <w:i/>
        </w:rPr>
        <w:t>DC Law: 34-804</w:t>
      </w:r>
      <w:r w:rsidRPr="00937EDD">
        <w:rPr>
          <w:rFonts w:asciiTheme="minorHAnsi" w:hAnsiTheme="minorHAnsi" w:cstheme="minorHAnsi"/>
        </w:rPr>
        <w:t xml:space="preserve">; </w:t>
      </w:r>
      <w:r w:rsidRPr="00937EDD">
        <w:rPr>
          <w:rFonts w:asciiTheme="minorHAnsi" w:hAnsiTheme="minorHAnsi" w:cstheme="minorHAnsi"/>
          <w:i/>
        </w:rPr>
        <w:t>DC Law: 34-801</w:t>
      </w:r>
      <w:r w:rsidRPr="00937EDD">
        <w:rPr>
          <w:rFonts w:asciiTheme="minorHAnsi" w:hAnsiTheme="minorHAnsi" w:cstheme="minorHAnsi"/>
        </w:rPr>
        <w:t xml:space="preserve">; and </w:t>
      </w:r>
      <w:r w:rsidRPr="00937EDD">
        <w:rPr>
          <w:rFonts w:asciiTheme="minorHAnsi" w:hAnsiTheme="minorHAnsi" w:cstheme="minorHAnsi"/>
          <w:i/>
        </w:rPr>
        <w:t>15 DCMR §3700</w:t>
      </w:r>
      <w:r w:rsidRPr="00937EDD">
        <w:rPr>
          <w:rFonts w:asciiTheme="minorHAnsi" w:hAnsiTheme="minorHAnsi" w:cstheme="minorHAnsi"/>
        </w:rPr>
        <w:t xml:space="preserve">, </w:t>
      </w:r>
    </w:p>
    <w:p w14:paraId="1536B667" w14:textId="77777777" w:rsidR="00A844BC" w:rsidRPr="00937EDD" w:rsidRDefault="00A844BC" w:rsidP="00A844BC">
      <w:pPr>
        <w:ind w:left="720"/>
        <w:jc w:val="both"/>
        <w:rPr>
          <w:rFonts w:asciiTheme="minorHAnsi" w:hAnsiTheme="minorHAnsi" w:cstheme="minorHAnsi"/>
        </w:rPr>
      </w:pPr>
      <w:r w:rsidRPr="00937EDD">
        <w:rPr>
          <w:rFonts w:asciiTheme="minorHAnsi" w:hAnsiTheme="minorHAnsi" w:cstheme="minorHAnsi"/>
        </w:rPr>
        <w:t>I hereby determine that the award of a sole source contract for the services described herein is in the best interest of the Office of the People’s Counsel.</w:t>
      </w:r>
    </w:p>
    <w:p w14:paraId="1536B668" w14:textId="77777777" w:rsidR="00A844BC" w:rsidRPr="00937EDD" w:rsidRDefault="00A844BC" w:rsidP="00A844BC">
      <w:pPr>
        <w:jc w:val="both"/>
        <w:rPr>
          <w:rFonts w:asciiTheme="minorHAnsi" w:hAnsiTheme="minorHAnsi" w:cstheme="minorHAnsi"/>
        </w:rPr>
      </w:pPr>
    </w:p>
    <w:p w14:paraId="1536B669" w14:textId="77777777" w:rsidR="00A844BC" w:rsidRPr="00937EDD" w:rsidRDefault="00A844BC" w:rsidP="00A844BC">
      <w:pPr>
        <w:ind w:firstLine="720"/>
        <w:jc w:val="both"/>
        <w:rPr>
          <w:rFonts w:asciiTheme="minorHAnsi" w:hAnsiTheme="minorHAnsi" w:cstheme="minorHAnsi"/>
        </w:rPr>
      </w:pPr>
    </w:p>
    <w:p w14:paraId="1536B66A" w14:textId="77777777" w:rsidR="00A844BC" w:rsidRPr="00937EDD" w:rsidRDefault="00A844BC" w:rsidP="00A844BC">
      <w:pPr>
        <w:ind w:firstLine="720"/>
        <w:jc w:val="both"/>
        <w:rPr>
          <w:rFonts w:asciiTheme="minorHAnsi" w:hAnsiTheme="minorHAnsi" w:cstheme="minorHAnsi"/>
        </w:rPr>
      </w:pPr>
      <w:r w:rsidRPr="00937EDD">
        <w:rPr>
          <w:rFonts w:asciiTheme="minorHAnsi" w:hAnsiTheme="minorHAnsi" w:cstheme="minorHAnsi"/>
        </w:rPr>
        <w:t>_________________________________</w:t>
      </w:r>
      <w:r w:rsidRPr="00937EDD">
        <w:rPr>
          <w:rFonts w:asciiTheme="minorHAnsi" w:hAnsiTheme="minorHAnsi" w:cstheme="minorHAnsi"/>
        </w:rPr>
        <w:tab/>
      </w:r>
      <w:r w:rsidRPr="00937EDD">
        <w:rPr>
          <w:rFonts w:asciiTheme="minorHAnsi" w:hAnsiTheme="minorHAnsi" w:cstheme="minorHAnsi"/>
        </w:rPr>
        <w:tab/>
        <w:t>__________________</w:t>
      </w:r>
    </w:p>
    <w:p w14:paraId="1536B66B" w14:textId="77777777" w:rsidR="00A844BC" w:rsidRPr="00937EDD" w:rsidRDefault="00A618A3" w:rsidP="00A844BC">
      <w:pPr>
        <w:ind w:firstLine="720"/>
        <w:jc w:val="both"/>
        <w:rPr>
          <w:rFonts w:asciiTheme="minorHAnsi" w:hAnsiTheme="minorHAnsi" w:cstheme="minorHAnsi"/>
        </w:rPr>
      </w:pPr>
      <w:r>
        <w:rPr>
          <w:rFonts w:asciiTheme="minorHAnsi" w:hAnsiTheme="minorHAnsi" w:cstheme="minorHAnsi"/>
        </w:rPr>
        <w:t>Eric B. Scott</w:t>
      </w:r>
      <w:r>
        <w:rPr>
          <w:rFonts w:asciiTheme="minorHAnsi" w:hAnsiTheme="minorHAnsi" w:cstheme="minorHAnsi"/>
        </w:rPr>
        <w:tab/>
      </w:r>
      <w:r>
        <w:rPr>
          <w:rFonts w:asciiTheme="minorHAnsi" w:hAnsiTheme="minorHAnsi" w:cstheme="minorHAnsi"/>
        </w:rPr>
        <w:tab/>
      </w:r>
      <w:r w:rsidR="00A844BC" w:rsidRPr="00937EDD">
        <w:rPr>
          <w:rFonts w:asciiTheme="minorHAnsi" w:hAnsiTheme="minorHAnsi" w:cstheme="minorHAnsi"/>
        </w:rPr>
        <w:tab/>
      </w:r>
      <w:r w:rsidR="00A844BC" w:rsidRPr="00937EDD">
        <w:rPr>
          <w:rFonts w:asciiTheme="minorHAnsi" w:hAnsiTheme="minorHAnsi" w:cstheme="minorHAnsi"/>
        </w:rPr>
        <w:tab/>
      </w:r>
      <w:r w:rsidR="00A844BC" w:rsidRPr="00937EDD">
        <w:rPr>
          <w:rFonts w:asciiTheme="minorHAnsi" w:hAnsiTheme="minorHAnsi" w:cstheme="minorHAnsi"/>
        </w:rPr>
        <w:tab/>
      </w:r>
      <w:r w:rsidR="00A844BC" w:rsidRPr="00937EDD">
        <w:rPr>
          <w:rFonts w:asciiTheme="minorHAnsi" w:hAnsiTheme="minorHAnsi" w:cstheme="minorHAnsi"/>
        </w:rPr>
        <w:tab/>
        <w:t>Date</w:t>
      </w:r>
    </w:p>
    <w:p w14:paraId="1536B66C" w14:textId="77777777" w:rsidR="00A844BC" w:rsidRDefault="00A618A3" w:rsidP="00154B28">
      <w:pPr>
        <w:ind w:firstLine="720"/>
        <w:jc w:val="both"/>
      </w:pPr>
      <w:r>
        <w:rPr>
          <w:rFonts w:asciiTheme="minorHAnsi" w:hAnsiTheme="minorHAnsi" w:cstheme="minorHAnsi"/>
        </w:rPr>
        <w:t>Chief Operating Officer</w:t>
      </w:r>
    </w:p>
    <w:p w14:paraId="1536B66D" w14:textId="77777777" w:rsidR="00CE49CD" w:rsidRDefault="00CE49CD" w:rsidP="00393E71"/>
    <w:sectPr w:rsidR="00CE49CD" w:rsidSect="00154B28">
      <w:footerReference w:type="even" r:id="rId8"/>
      <w:footerReference w:type="default" r:id="rId9"/>
      <w:footerReference w:type="first" r:id="rId10"/>
      <w:pgSz w:w="12240" w:h="15840"/>
      <w:pgMar w:top="1260" w:right="1800" w:bottom="117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6B33D" w14:textId="77777777" w:rsidR="00C67013" w:rsidRDefault="00C67013">
      <w:r>
        <w:separator/>
      </w:r>
    </w:p>
  </w:endnote>
  <w:endnote w:type="continuationSeparator" w:id="0">
    <w:p w14:paraId="0E0ABE9C" w14:textId="77777777" w:rsidR="00C67013" w:rsidRDefault="00C67013">
      <w:r>
        <w:continuationSeparator/>
      </w:r>
    </w:p>
  </w:endnote>
  <w:endnote w:id="1">
    <w:p w14:paraId="1536B678" w14:textId="77777777" w:rsidR="00B76ACC" w:rsidRPr="00D34E84" w:rsidRDefault="00B76ACC" w:rsidP="00B76ACC">
      <w:pPr>
        <w:rPr>
          <w:sz w:val="18"/>
          <w:szCs w:val="18"/>
        </w:rPr>
      </w:pPr>
      <w:r w:rsidRPr="004B3527">
        <w:rPr>
          <w:rStyle w:val="EndnoteReference"/>
          <w:b/>
          <w:color w:val="1F497D" w:themeColor="text2"/>
          <w:sz w:val="28"/>
          <w:szCs w:val="28"/>
        </w:rPr>
        <w:endnoteRef/>
      </w:r>
      <w:r>
        <w:t xml:space="preserve"> </w:t>
      </w:r>
      <w:r w:rsidR="000258D0" w:rsidRPr="00D34E84">
        <w:rPr>
          <w:sz w:val="18"/>
          <w:szCs w:val="18"/>
        </w:rPr>
        <w:t>Procurement authority is vested in the Commission</w:t>
      </w:r>
      <w:r w:rsidR="0036121B" w:rsidRPr="00D34E84">
        <w:rPr>
          <w:sz w:val="18"/>
          <w:szCs w:val="18"/>
        </w:rPr>
        <w:t xml:space="preserve"> </w:t>
      </w:r>
      <w:r w:rsidR="000258D0" w:rsidRPr="00D34E84">
        <w:rPr>
          <w:sz w:val="18"/>
          <w:szCs w:val="18"/>
        </w:rPr>
        <w:t xml:space="preserve">pursuant to § 13 </w:t>
      </w:r>
      <w:r w:rsidR="0036121B" w:rsidRPr="00D34E84">
        <w:rPr>
          <w:sz w:val="18"/>
          <w:szCs w:val="18"/>
        </w:rPr>
        <w:t>(c) (2) of the Residential Real Property Seller Disclosure, Funeral Service Date Chang, and Public Service Commission Independent Procurement authority Act of 1998 (D.C. Law 12-263). The Commission is statutorily exempt from the D.C. procurement rules as set forth in D.C. Official Code §1-1181 et seq.</w:t>
      </w:r>
    </w:p>
    <w:p w14:paraId="1536B679" w14:textId="77777777" w:rsidR="0036121B" w:rsidRPr="00D34E84" w:rsidRDefault="0036121B" w:rsidP="00B76ACC">
      <w:pPr>
        <w:rPr>
          <w:sz w:val="18"/>
          <w:szCs w:val="18"/>
        </w:rPr>
      </w:pPr>
    </w:p>
    <w:p w14:paraId="1536B67A" w14:textId="77777777" w:rsidR="0036121B" w:rsidRPr="00D34E84" w:rsidRDefault="0036121B" w:rsidP="00B76ACC">
      <w:pPr>
        <w:rPr>
          <w:sz w:val="18"/>
          <w:szCs w:val="18"/>
        </w:rPr>
      </w:pPr>
      <w:r w:rsidRPr="00D34E84">
        <w:rPr>
          <w:sz w:val="18"/>
          <w:szCs w:val="18"/>
        </w:rPr>
        <w:t>DC Law:</w:t>
      </w:r>
      <w:r w:rsidR="00D34E84" w:rsidRPr="00D34E84">
        <w:rPr>
          <w:sz w:val="18"/>
          <w:szCs w:val="18"/>
        </w:rPr>
        <w:t xml:space="preserve"> </w:t>
      </w:r>
      <w:r w:rsidRPr="00D34E84">
        <w:rPr>
          <w:sz w:val="18"/>
          <w:szCs w:val="18"/>
        </w:rPr>
        <w:t>34-804, herby established within the Public Service Commission of the District of Columbia, has established by DC Law: 34-801, an</w:t>
      </w:r>
      <w:r w:rsidR="00D34E84" w:rsidRPr="00D34E84">
        <w:rPr>
          <w:sz w:val="18"/>
          <w:szCs w:val="18"/>
        </w:rPr>
        <w:t xml:space="preserve"> office to be known as the “Office of the People’s Counsel”. The office shall be a party, as of right, in any investigation, valuation, revaluation, or proceeding of any by nature by the Public Service Commission of or concerning a public utility operating in the District of Columbia.</w:t>
      </w:r>
    </w:p>
    <w:p w14:paraId="1536B67B" w14:textId="77777777" w:rsidR="00D34E84" w:rsidRPr="00D34E84" w:rsidRDefault="00D34E84" w:rsidP="00B76ACC">
      <w:pPr>
        <w:rPr>
          <w:sz w:val="18"/>
          <w:szCs w:val="18"/>
        </w:rPr>
      </w:pPr>
    </w:p>
    <w:p w14:paraId="1536B67C" w14:textId="77777777" w:rsidR="00D34E84" w:rsidRPr="00D34E84" w:rsidRDefault="00D34E84" w:rsidP="00B76ACC">
      <w:pPr>
        <w:rPr>
          <w:sz w:val="18"/>
          <w:szCs w:val="18"/>
        </w:rPr>
      </w:pPr>
      <w:r w:rsidRPr="00D34E84">
        <w:rPr>
          <w:sz w:val="18"/>
          <w:szCs w:val="18"/>
        </w:rPr>
        <w:t>15 DCMR §3700: Public Utilities and Cable Television- Public Service Commission Rules of Practice and Procedure.</w:t>
      </w:r>
    </w:p>
    <w:p w14:paraId="1536B67D" w14:textId="77777777" w:rsidR="00B76ACC" w:rsidRPr="00D34E84" w:rsidRDefault="00B76ACC">
      <w:pPr>
        <w:pStyle w:val="EndnoteText"/>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B672" w14:textId="77777777" w:rsidR="000B5A5C" w:rsidRDefault="003553BE" w:rsidP="00836D77">
    <w:pPr>
      <w:pStyle w:val="Footer"/>
      <w:framePr w:wrap="around" w:vAnchor="text" w:hAnchor="margin" w:xAlign="center" w:y="1"/>
      <w:rPr>
        <w:rStyle w:val="PageNumber"/>
      </w:rPr>
    </w:pPr>
    <w:r>
      <w:rPr>
        <w:rStyle w:val="PageNumber"/>
      </w:rPr>
      <w:fldChar w:fldCharType="begin"/>
    </w:r>
    <w:r w:rsidR="000B5A5C">
      <w:rPr>
        <w:rStyle w:val="PageNumber"/>
      </w:rPr>
      <w:instrText xml:space="preserve">PAGE  </w:instrText>
    </w:r>
    <w:r>
      <w:rPr>
        <w:rStyle w:val="PageNumber"/>
      </w:rPr>
      <w:fldChar w:fldCharType="end"/>
    </w:r>
  </w:p>
  <w:p w14:paraId="1536B673" w14:textId="77777777" w:rsidR="000B5A5C" w:rsidRDefault="000B5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B674" w14:textId="77777777" w:rsidR="000B5A5C" w:rsidRDefault="003553BE" w:rsidP="00836D77">
    <w:pPr>
      <w:pStyle w:val="Footer"/>
      <w:framePr w:wrap="around" w:vAnchor="text" w:hAnchor="margin" w:xAlign="center" w:y="1"/>
      <w:rPr>
        <w:rStyle w:val="PageNumber"/>
      </w:rPr>
    </w:pPr>
    <w:r>
      <w:rPr>
        <w:rStyle w:val="PageNumber"/>
      </w:rPr>
      <w:fldChar w:fldCharType="begin"/>
    </w:r>
    <w:r w:rsidR="000B5A5C">
      <w:rPr>
        <w:rStyle w:val="PageNumber"/>
      </w:rPr>
      <w:instrText xml:space="preserve">PAGE  </w:instrText>
    </w:r>
    <w:r>
      <w:rPr>
        <w:rStyle w:val="PageNumber"/>
      </w:rPr>
      <w:fldChar w:fldCharType="separate"/>
    </w:r>
    <w:r w:rsidR="00B31979">
      <w:rPr>
        <w:rStyle w:val="PageNumber"/>
        <w:noProof/>
      </w:rPr>
      <w:t>2</w:t>
    </w:r>
    <w:r>
      <w:rPr>
        <w:rStyle w:val="PageNumber"/>
      </w:rPr>
      <w:fldChar w:fldCharType="end"/>
    </w:r>
  </w:p>
  <w:p w14:paraId="1536B675" w14:textId="77777777" w:rsidR="000B5A5C" w:rsidRDefault="000B5A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95579"/>
      <w:docPartObj>
        <w:docPartGallery w:val="Page Numbers (Bottom of Page)"/>
        <w:docPartUnique/>
      </w:docPartObj>
    </w:sdtPr>
    <w:sdtEndPr/>
    <w:sdtContent>
      <w:sdt>
        <w:sdtPr>
          <w:id w:val="1728636285"/>
          <w:docPartObj>
            <w:docPartGallery w:val="Page Numbers (Top of Page)"/>
            <w:docPartUnique/>
          </w:docPartObj>
        </w:sdtPr>
        <w:sdtEndPr/>
        <w:sdtContent>
          <w:p w14:paraId="1536B676" w14:textId="77777777" w:rsidR="00430321" w:rsidRDefault="00430321">
            <w:pPr>
              <w:pStyle w:val="Footer"/>
              <w:jc w:val="center"/>
            </w:pPr>
            <w:r>
              <w:t xml:space="preserve">Page </w:t>
            </w:r>
            <w:r>
              <w:rPr>
                <w:b/>
                <w:bCs/>
              </w:rPr>
              <w:fldChar w:fldCharType="begin"/>
            </w:r>
            <w:r>
              <w:rPr>
                <w:b/>
                <w:bCs/>
              </w:rPr>
              <w:instrText xml:space="preserve"> PAGE </w:instrText>
            </w:r>
            <w:r>
              <w:rPr>
                <w:b/>
                <w:bCs/>
              </w:rPr>
              <w:fldChar w:fldCharType="separate"/>
            </w:r>
            <w:r w:rsidR="008321E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321E7">
              <w:rPr>
                <w:b/>
                <w:bCs/>
                <w:noProof/>
              </w:rPr>
              <w:t>1</w:t>
            </w:r>
            <w:r>
              <w:rPr>
                <w:b/>
                <w:bCs/>
              </w:rPr>
              <w:fldChar w:fldCharType="end"/>
            </w:r>
          </w:p>
        </w:sdtContent>
      </w:sdt>
    </w:sdtContent>
  </w:sdt>
  <w:p w14:paraId="1536B677" w14:textId="77777777" w:rsidR="00430321" w:rsidRDefault="00430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334FF" w14:textId="77777777" w:rsidR="00C67013" w:rsidRDefault="00C67013">
      <w:r>
        <w:separator/>
      </w:r>
    </w:p>
  </w:footnote>
  <w:footnote w:type="continuationSeparator" w:id="0">
    <w:p w14:paraId="631B28C8" w14:textId="77777777" w:rsidR="00C67013" w:rsidRDefault="00C67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7433"/>
    <w:multiLevelType w:val="hybridMultilevel"/>
    <w:tmpl w:val="F7E0EE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B852A0"/>
    <w:multiLevelType w:val="hybridMultilevel"/>
    <w:tmpl w:val="A1907A20"/>
    <w:lvl w:ilvl="0" w:tplc="7DFA5332">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C905B12"/>
    <w:multiLevelType w:val="hybridMultilevel"/>
    <w:tmpl w:val="CF1E3E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F4514F"/>
    <w:multiLevelType w:val="hybridMultilevel"/>
    <w:tmpl w:val="E1F298FA"/>
    <w:lvl w:ilvl="0" w:tplc="33521A0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1E21D3"/>
    <w:multiLevelType w:val="hybridMultilevel"/>
    <w:tmpl w:val="E730ADF4"/>
    <w:lvl w:ilvl="0" w:tplc="7DFA5332">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33C4A8F"/>
    <w:multiLevelType w:val="hybridMultilevel"/>
    <w:tmpl w:val="850EFA3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811D71"/>
    <w:multiLevelType w:val="hybridMultilevel"/>
    <w:tmpl w:val="4ADAE94E"/>
    <w:lvl w:ilvl="0" w:tplc="5B4AB6D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36454687">
    <w:abstractNumId w:val="3"/>
  </w:num>
  <w:num w:numId="2" w16cid:durableId="1235317135">
    <w:abstractNumId w:val="2"/>
  </w:num>
  <w:num w:numId="3" w16cid:durableId="2086536577">
    <w:abstractNumId w:val="5"/>
  </w:num>
  <w:num w:numId="4" w16cid:durableId="965501444">
    <w:abstractNumId w:val="6"/>
  </w:num>
  <w:num w:numId="5" w16cid:durableId="1629823653">
    <w:abstractNumId w:val="1"/>
  </w:num>
  <w:num w:numId="6" w16cid:durableId="1016813793">
    <w:abstractNumId w:val="0"/>
  </w:num>
  <w:num w:numId="7" w16cid:durableId="9151680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770"/>
    <w:rsid w:val="0001355A"/>
    <w:rsid w:val="00017747"/>
    <w:rsid w:val="00017DEA"/>
    <w:rsid w:val="000218A8"/>
    <w:rsid w:val="000258D0"/>
    <w:rsid w:val="00033703"/>
    <w:rsid w:val="00035808"/>
    <w:rsid w:val="00043A5C"/>
    <w:rsid w:val="00045BDB"/>
    <w:rsid w:val="0005583B"/>
    <w:rsid w:val="000602A3"/>
    <w:rsid w:val="000613EE"/>
    <w:rsid w:val="00064FA1"/>
    <w:rsid w:val="00090E00"/>
    <w:rsid w:val="00091891"/>
    <w:rsid w:val="000A113F"/>
    <w:rsid w:val="000B5A5C"/>
    <w:rsid w:val="000D4574"/>
    <w:rsid w:val="000E032B"/>
    <w:rsid w:val="000E6A44"/>
    <w:rsid w:val="00103407"/>
    <w:rsid w:val="00106354"/>
    <w:rsid w:val="00110F9F"/>
    <w:rsid w:val="00123CC8"/>
    <w:rsid w:val="00125D12"/>
    <w:rsid w:val="00147289"/>
    <w:rsid w:val="00154B28"/>
    <w:rsid w:val="00162BD8"/>
    <w:rsid w:val="001773C7"/>
    <w:rsid w:val="001B36C1"/>
    <w:rsid w:val="001B53F3"/>
    <w:rsid w:val="001C26E4"/>
    <w:rsid w:val="001C3D6C"/>
    <w:rsid w:val="001C5A9E"/>
    <w:rsid w:val="001F3B81"/>
    <w:rsid w:val="00210C91"/>
    <w:rsid w:val="00211411"/>
    <w:rsid w:val="0021516E"/>
    <w:rsid w:val="00224182"/>
    <w:rsid w:val="0023267A"/>
    <w:rsid w:val="00241935"/>
    <w:rsid w:val="00265417"/>
    <w:rsid w:val="002702F2"/>
    <w:rsid w:val="00276239"/>
    <w:rsid w:val="002A3268"/>
    <w:rsid w:val="002A53AA"/>
    <w:rsid w:val="002B69D1"/>
    <w:rsid w:val="002E3CAD"/>
    <w:rsid w:val="002E64AF"/>
    <w:rsid w:val="0030141F"/>
    <w:rsid w:val="00305360"/>
    <w:rsid w:val="00323460"/>
    <w:rsid w:val="00323662"/>
    <w:rsid w:val="00347E16"/>
    <w:rsid w:val="003523B5"/>
    <w:rsid w:val="003553BE"/>
    <w:rsid w:val="0036121B"/>
    <w:rsid w:val="003642AA"/>
    <w:rsid w:val="00370319"/>
    <w:rsid w:val="0037066F"/>
    <w:rsid w:val="00374459"/>
    <w:rsid w:val="00382190"/>
    <w:rsid w:val="00383D51"/>
    <w:rsid w:val="00393E71"/>
    <w:rsid w:val="003A645B"/>
    <w:rsid w:val="003D178D"/>
    <w:rsid w:val="003D54D0"/>
    <w:rsid w:val="003D5599"/>
    <w:rsid w:val="003D56A9"/>
    <w:rsid w:val="00425D8B"/>
    <w:rsid w:val="00430321"/>
    <w:rsid w:val="00443769"/>
    <w:rsid w:val="00443F3F"/>
    <w:rsid w:val="00471ABF"/>
    <w:rsid w:val="00476C05"/>
    <w:rsid w:val="0048013A"/>
    <w:rsid w:val="00481605"/>
    <w:rsid w:val="004A0307"/>
    <w:rsid w:val="004A2D39"/>
    <w:rsid w:val="004B3527"/>
    <w:rsid w:val="004B5DE4"/>
    <w:rsid w:val="004D23FF"/>
    <w:rsid w:val="0050676E"/>
    <w:rsid w:val="00517427"/>
    <w:rsid w:val="00521112"/>
    <w:rsid w:val="00534891"/>
    <w:rsid w:val="00536D49"/>
    <w:rsid w:val="0055299A"/>
    <w:rsid w:val="00563AD6"/>
    <w:rsid w:val="0056633A"/>
    <w:rsid w:val="00572AC7"/>
    <w:rsid w:val="00574813"/>
    <w:rsid w:val="00580584"/>
    <w:rsid w:val="00592770"/>
    <w:rsid w:val="005A78EA"/>
    <w:rsid w:val="005C1379"/>
    <w:rsid w:val="005E3ADB"/>
    <w:rsid w:val="005E3AE3"/>
    <w:rsid w:val="005F2987"/>
    <w:rsid w:val="005F5ABE"/>
    <w:rsid w:val="005F74A9"/>
    <w:rsid w:val="00613F13"/>
    <w:rsid w:val="006146C3"/>
    <w:rsid w:val="00615224"/>
    <w:rsid w:val="00642322"/>
    <w:rsid w:val="00650867"/>
    <w:rsid w:val="00652FA0"/>
    <w:rsid w:val="00683985"/>
    <w:rsid w:val="006C4A76"/>
    <w:rsid w:val="006D5823"/>
    <w:rsid w:val="006F3091"/>
    <w:rsid w:val="006F3EDD"/>
    <w:rsid w:val="006F567B"/>
    <w:rsid w:val="00703E08"/>
    <w:rsid w:val="00705D9B"/>
    <w:rsid w:val="00710826"/>
    <w:rsid w:val="00737279"/>
    <w:rsid w:val="00743B49"/>
    <w:rsid w:val="00744B2E"/>
    <w:rsid w:val="00753C79"/>
    <w:rsid w:val="0076218B"/>
    <w:rsid w:val="00762EC8"/>
    <w:rsid w:val="00766E2C"/>
    <w:rsid w:val="00772F4C"/>
    <w:rsid w:val="00785581"/>
    <w:rsid w:val="0079280A"/>
    <w:rsid w:val="007A5F45"/>
    <w:rsid w:val="007C1186"/>
    <w:rsid w:val="007C17AD"/>
    <w:rsid w:val="007C526A"/>
    <w:rsid w:val="007D0137"/>
    <w:rsid w:val="007F2EBD"/>
    <w:rsid w:val="008032C0"/>
    <w:rsid w:val="00810650"/>
    <w:rsid w:val="008321E7"/>
    <w:rsid w:val="00836D77"/>
    <w:rsid w:val="0084593B"/>
    <w:rsid w:val="008768B9"/>
    <w:rsid w:val="00882D08"/>
    <w:rsid w:val="00884EEF"/>
    <w:rsid w:val="008A7DC8"/>
    <w:rsid w:val="008B083C"/>
    <w:rsid w:val="008C3B50"/>
    <w:rsid w:val="00900A77"/>
    <w:rsid w:val="0090518D"/>
    <w:rsid w:val="009075C0"/>
    <w:rsid w:val="00921677"/>
    <w:rsid w:val="00943D80"/>
    <w:rsid w:val="009505D8"/>
    <w:rsid w:val="00952BE0"/>
    <w:rsid w:val="00977BD1"/>
    <w:rsid w:val="00986664"/>
    <w:rsid w:val="00987DBD"/>
    <w:rsid w:val="009A369F"/>
    <w:rsid w:val="009A3DB5"/>
    <w:rsid w:val="009A4994"/>
    <w:rsid w:val="009C5D27"/>
    <w:rsid w:val="009D7599"/>
    <w:rsid w:val="009F3618"/>
    <w:rsid w:val="009F7097"/>
    <w:rsid w:val="009F7EA3"/>
    <w:rsid w:val="00A02528"/>
    <w:rsid w:val="00A1296D"/>
    <w:rsid w:val="00A36326"/>
    <w:rsid w:val="00A55CBF"/>
    <w:rsid w:val="00A618A3"/>
    <w:rsid w:val="00A75EDC"/>
    <w:rsid w:val="00A844BC"/>
    <w:rsid w:val="00A96B99"/>
    <w:rsid w:val="00AA0ABA"/>
    <w:rsid w:val="00AA0B9E"/>
    <w:rsid w:val="00AA344D"/>
    <w:rsid w:val="00AB2314"/>
    <w:rsid w:val="00AB3BF3"/>
    <w:rsid w:val="00AB75BD"/>
    <w:rsid w:val="00AC74F4"/>
    <w:rsid w:val="00AD0555"/>
    <w:rsid w:val="00AD14B2"/>
    <w:rsid w:val="00AD2F80"/>
    <w:rsid w:val="00AD79FD"/>
    <w:rsid w:val="00AE5B46"/>
    <w:rsid w:val="00AF7FE0"/>
    <w:rsid w:val="00B020F1"/>
    <w:rsid w:val="00B034DE"/>
    <w:rsid w:val="00B07F84"/>
    <w:rsid w:val="00B15A35"/>
    <w:rsid w:val="00B263FE"/>
    <w:rsid w:val="00B27776"/>
    <w:rsid w:val="00B31979"/>
    <w:rsid w:val="00B434E9"/>
    <w:rsid w:val="00B76ACC"/>
    <w:rsid w:val="00B860AD"/>
    <w:rsid w:val="00BA157A"/>
    <w:rsid w:val="00BA4873"/>
    <w:rsid w:val="00BA716D"/>
    <w:rsid w:val="00BB7F79"/>
    <w:rsid w:val="00BC44F2"/>
    <w:rsid w:val="00BE434F"/>
    <w:rsid w:val="00C02A58"/>
    <w:rsid w:val="00C1230E"/>
    <w:rsid w:val="00C167D4"/>
    <w:rsid w:val="00C27243"/>
    <w:rsid w:val="00C43A20"/>
    <w:rsid w:val="00C5200B"/>
    <w:rsid w:val="00C526F8"/>
    <w:rsid w:val="00C578C7"/>
    <w:rsid w:val="00C57B73"/>
    <w:rsid w:val="00C67013"/>
    <w:rsid w:val="00C8224B"/>
    <w:rsid w:val="00C8301E"/>
    <w:rsid w:val="00C94883"/>
    <w:rsid w:val="00CA20EC"/>
    <w:rsid w:val="00CA5F5E"/>
    <w:rsid w:val="00CB6B6C"/>
    <w:rsid w:val="00CC30D0"/>
    <w:rsid w:val="00CE366D"/>
    <w:rsid w:val="00CE3F71"/>
    <w:rsid w:val="00CE49CD"/>
    <w:rsid w:val="00CF0661"/>
    <w:rsid w:val="00CF3371"/>
    <w:rsid w:val="00D006A0"/>
    <w:rsid w:val="00D073A6"/>
    <w:rsid w:val="00D074BB"/>
    <w:rsid w:val="00D10BED"/>
    <w:rsid w:val="00D212A2"/>
    <w:rsid w:val="00D23C84"/>
    <w:rsid w:val="00D24E1F"/>
    <w:rsid w:val="00D34E84"/>
    <w:rsid w:val="00D43777"/>
    <w:rsid w:val="00D504DA"/>
    <w:rsid w:val="00D54889"/>
    <w:rsid w:val="00D85546"/>
    <w:rsid w:val="00D923FC"/>
    <w:rsid w:val="00D9578C"/>
    <w:rsid w:val="00DA2636"/>
    <w:rsid w:val="00DA66AB"/>
    <w:rsid w:val="00DA68C4"/>
    <w:rsid w:val="00DB39DF"/>
    <w:rsid w:val="00DC13DA"/>
    <w:rsid w:val="00DD1C12"/>
    <w:rsid w:val="00DE58B7"/>
    <w:rsid w:val="00E05C87"/>
    <w:rsid w:val="00E07989"/>
    <w:rsid w:val="00E1100F"/>
    <w:rsid w:val="00E156F4"/>
    <w:rsid w:val="00E21320"/>
    <w:rsid w:val="00E322BA"/>
    <w:rsid w:val="00E322C9"/>
    <w:rsid w:val="00E44869"/>
    <w:rsid w:val="00E84095"/>
    <w:rsid w:val="00E86FEF"/>
    <w:rsid w:val="00E92375"/>
    <w:rsid w:val="00E95F2C"/>
    <w:rsid w:val="00E97275"/>
    <w:rsid w:val="00ED6404"/>
    <w:rsid w:val="00EE4C5D"/>
    <w:rsid w:val="00EE6261"/>
    <w:rsid w:val="00F10D8F"/>
    <w:rsid w:val="00F20BEB"/>
    <w:rsid w:val="00F25EEC"/>
    <w:rsid w:val="00F327FE"/>
    <w:rsid w:val="00F52218"/>
    <w:rsid w:val="00F56E98"/>
    <w:rsid w:val="00F67444"/>
    <w:rsid w:val="00F8647E"/>
    <w:rsid w:val="00F915EF"/>
    <w:rsid w:val="00FA2278"/>
    <w:rsid w:val="00FA2A34"/>
    <w:rsid w:val="00FA2D4A"/>
    <w:rsid w:val="00FB7FB7"/>
    <w:rsid w:val="00FD4DDA"/>
    <w:rsid w:val="00FE1570"/>
    <w:rsid w:val="00FF5BD3"/>
    <w:rsid w:val="00FF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6B63A"/>
  <w15:docId w15:val="{76B25695-AC6C-4602-8D8E-DF013D1C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2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2F80"/>
    <w:pPr>
      <w:tabs>
        <w:tab w:val="center" w:pos="4320"/>
        <w:tab w:val="right" w:pos="8640"/>
      </w:tabs>
    </w:pPr>
  </w:style>
  <w:style w:type="character" w:styleId="PageNumber">
    <w:name w:val="page number"/>
    <w:basedOn w:val="DefaultParagraphFont"/>
    <w:rsid w:val="00AD2F80"/>
  </w:style>
  <w:style w:type="paragraph" w:styleId="BodyTextIndent2">
    <w:name w:val="Body Text Indent 2"/>
    <w:basedOn w:val="Normal"/>
    <w:rsid w:val="005F74A9"/>
    <w:pPr>
      <w:spacing w:after="120" w:line="480" w:lineRule="auto"/>
      <w:ind w:left="360"/>
    </w:pPr>
  </w:style>
  <w:style w:type="paragraph" w:styleId="Header">
    <w:name w:val="header"/>
    <w:basedOn w:val="Normal"/>
    <w:rsid w:val="00766E2C"/>
    <w:pPr>
      <w:tabs>
        <w:tab w:val="center" w:pos="4320"/>
        <w:tab w:val="right" w:pos="8640"/>
      </w:tabs>
    </w:pPr>
  </w:style>
  <w:style w:type="paragraph" w:styleId="BalloonText">
    <w:name w:val="Balloon Text"/>
    <w:basedOn w:val="Normal"/>
    <w:semiHidden/>
    <w:rsid w:val="00753C79"/>
    <w:rPr>
      <w:rFonts w:ascii="Tahoma" w:hAnsi="Tahoma" w:cs="Tahoma"/>
      <w:sz w:val="16"/>
      <w:szCs w:val="16"/>
    </w:rPr>
  </w:style>
  <w:style w:type="character" w:styleId="Hyperlink">
    <w:name w:val="Hyperlink"/>
    <w:uiPriority w:val="99"/>
    <w:unhideWhenUsed/>
    <w:rsid w:val="00AA0ABA"/>
    <w:rPr>
      <w:strike w:val="0"/>
      <w:dstrike w:val="0"/>
      <w:color w:val="003366"/>
      <w:u w:val="none"/>
      <w:effect w:val="none"/>
    </w:rPr>
  </w:style>
  <w:style w:type="paragraph" w:styleId="NormalWeb">
    <w:name w:val="Normal (Web)"/>
    <w:basedOn w:val="Normal"/>
    <w:uiPriority w:val="99"/>
    <w:unhideWhenUsed/>
    <w:rsid w:val="00AA0ABA"/>
  </w:style>
  <w:style w:type="paragraph" w:styleId="ListParagraph">
    <w:name w:val="List Paragraph"/>
    <w:basedOn w:val="Normal"/>
    <w:uiPriority w:val="34"/>
    <w:qFormat/>
    <w:rsid w:val="0037066F"/>
    <w:pPr>
      <w:ind w:left="720"/>
      <w:contextualSpacing/>
    </w:pPr>
  </w:style>
  <w:style w:type="paragraph" w:styleId="EndnoteText">
    <w:name w:val="endnote text"/>
    <w:basedOn w:val="Normal"/>
    <w:link w:val="EndnoteTextChar"/>
    <w:rsid w:val="00B76ACC"/>
    <w:rPr>
      <w:sz w:val="20"/>
      <w:szCs w:val="20"/>
    </w:rPr>
  </w:style>
  <w:style w:type="character" w:customStyle="1" w:styleId="EndnoteTextChar">
    <w:name w:val="Endnote Text Char"/>
    <w:basedOn w:val="DefaultParagraphFont"/>
    <w:link w:val="EndnoteText"/>
    <w:rsid w:val="00B76ACC"/>
  </w:style>
  <w:style w:type="character" w:styleId="EndnoteReference">
    <w:name w:val="endnote reference"/>
    <w:basedOn w:val="DefaultParagraphFont"/>
    <w:rsid w:val="00B76ACC"/>
    <w:rPr>
      <w:vertAlign w:val="superscript"/>
    </w:rPr>
  </w:style>
  <w:style w:type="character" w:customStyle="1" w:styleId="FooterChar">
    <w:name w:val="Footer Char"/>
    <w:basedOn w:val="DefaultParagraphFont"/>
    <w:link w:val="Footer"/>
    <w:uiPriority w:val="99"/>
    <w:rsid w:val="004303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70845">
      <w:bodyDiv w:val="1"/>
      <w:marLeft w:val="0"/>
      <w:marRight w:val="0"/>
      <w:marTop w:val="0"/>
      <w:marBottom w:val="0"/>
      <w:divBdr>
        <w:top w:val="none" w:sz="0" w:space="0" w:color="auto"/>
        <w:left w:val="none" w:sz="0" w:space="0" w:color="auto"/>
        <w:bottom w:val="none" w:sz="0" w:space="0" w:color="auto"/>
        <w:right w:val="none" w:sz="0" w:space="0" w:color="auto"/>
      </w:divBdr>
    </w:div>
    <w:div w:id="1653440490">
      <w:bodyDiv w:val="1"/>
      <w:marLeft w:val="0"/>
      <w:marRight w:val="0"/>
      <w:marTop w:val="0"/>
      <w:marBottom w:val="0"/>
      <w:divBdr>
        <w:top w:val="none" w:sz="0" w:space="0" w:color="auto"/>
        <w:left w:val="none" w:sz="0" w:space="0" w:color="auto"/>
        <w:bottom w:val="none" w:sz="0" w:space="0" w:color="auto"/>
        <w:right w:val="none" w:sz="0" w:space="0" w:color="auto"/>
      </w:divBdr>
      <w:divsChild>
        <w:div w:id="595216104">
          <w:marLeft w:val="0"/>
          <w:marRight w:val="0"/>
          <w:marTop w:val="0"/>
          <w:marBottom w:val="0"/>
          <w:divBdr>
            <w:top w:val="none" w:sz="0" w:space="0" w:color="auto"/>
            <w:left w:val="none" w:sz="0" w:space="0" w:color="auto"/>
            <w:bottom w:val="none" w:sz="0" w:space="0" w:color="auto"/>
            <w:right w:val="none" w:sz="0" w:space="0" w:color="auto"/>
          </w:divBdr>
          <w:divsChild>
            <w:div w:id="820269363">
              <w:marLeft w:val="0"/>
              <w:marRight w:val="0"/>
              <w:marTop w:val="0"/>
              <w:marBottom w:val="0"/>
              <w:divBdr>
                <w:top w:val="none" w:sz="0" w:space="0" w:color="auto"/>
                <w:left w:val="none" w:sz="0" w:space="0" w:color="auto"/>
                <w:bottom w:val="none" w:sz="0" w:space="0" w:color="auto"/>
                <w:right w:val="none" w:sz="0" w:space="0" w:color="auto"/>
              </w:divBdr>
              <w:divsChild>
                <w:div w:id="1762413738">
                  <w:marLeft w:val="0"/>
                  <w:marRight w:val="0"/>
                  <w:marTop w:val="0"/>
                  <w:marBottom w:val="0"/>
                  <w:divBdr>
                    <w:top w:val="none" w:sz="0" w:space="0" w:color="auto"/>
                    <w:left w:val="none" w:sz="0" w:space="0" w:color="auto"/>
                    <w:bottom w:val="none" w:sz="0" w:space="0" w:color="auto"/>
                    <w:right w:val="none" w:sz="0" w:space="0" w:color="auto"/>
                  </w:divBdr>
                  <w:divsChild>
                    <w:div w:id="80806958">
                      <w:marLeft w:val="115"/>
                      <w:marRight w:val="115"/>
                      <w:marTop w:val="0"/>
                      <w:marBottom w:val="230"/>
                      <w:divBdr>
                        <w:top w:val="none" w:sz="0" w:space="0" w:color="auto"/>
                        <w:left w:val="none" w:sz="0" w:space="0" w:color="auto"/>
                        <w:bottom w:val="none" w:sz="0" w:space="0" w:color="auto"/>
                        <w:right w:val="none" w:sz="0" w:space="0" w:color="auto"/>
                      </w:divBdr>
                      <w:divsChild>
                        <w:div w:id="1615600779">
                          <w:marLeft w:val="0"/>
                          <w:marRight w:val="0"/>
                          <w:marTop w:val="0"/>
                          <w:marBottom w:val="230"/>
                          <w:divBdr>
                            <w:top w:val="none" w:sz="0" w:space="0" w:color="auto"/>
                            <w:left w:val="none" w:sz="0" w:space="0" w:color="auto"/>
                            <w:bottom w:val="none" w:sz="0" w:space="0" w:color="auto"/>
                            <w:right w:val="none" w:sz="0" w:space="0" w:color="auto"/>
                          </w:divBdr>
                          <w:divsChild>
                            <w:div w:id="412701444">
                              <w:marLeft w:val="0"/>
                              <w:marRight w:val="0"/>
                              <w:marTop w:val="0"/>
                              <w:marBottom w:val="0"/>
                              <w:divBdr>
                                <w:top w:val="none" w:sz="0" w:space="0" w:color="auto"/>
                                <w:left w:val="none" w:sz="0" w:space="0" w:color="auto"/>
                                <w:bottom w:val="none" w:sz="0" w:space="0" w:color="auto"/>
                                <w:right w:val="none" w:sz="0" w:space="0" w:color="auto"/>
                              </w:divBdr>
                              <w:divsChild>
                                <w:div w:id="914439023">
                                  <w:marLeft w:val="0"/>
                                  <w:marRight w:val="0"/>
                                  <w:marTop w:val="0"/>
                                  <w:marBottom w:val="0"/>
                                  <w:divBdr>
                                    <w:top w:val="none" w:sz="0" w:space="0" w:color="auto"/>
                                    <w:left w:val="none" w:sz="0" w:space="0" w:color="auto"/>
                                    <w:bottom w:val="none" w:sz="0" w:space="0" w:color="auto"/>
                                    <w:right w:val="none" w:sz="0" w:space="0" w:color="auto"/>
                                  </w:divBdr>
                                  <w:divsChild>
                                    <w:div w:id="1478760661">
                                      <w:marLeft w:val="0"/>
                                      <w:marRight w:val="0"/>
                                      <w:marTop w:val="0"/>
                                      <w:marBottom w:val="0"/>
                                      <w:divBdr>
                                        <w:top w:val="none" w:sz="0" w:space="0" w:color="auto"/>
                                        <w:left w:val="none" w:sz="0" w:space="0" w:color="auto"/>
                                        <w:bottom w:val="none" w:sz="0" w:space="0" w:color="auto"/>
                                        <w:right w:val="none" w:sz="0" w:space="0" w:color="auto"/>
                                      </w:divBdr>
                                      <w:divsChild>
                                        <w:div w:id="1318072909">
                                          <w:marLeft w:val="0"/>
                                          <w:marRight w:val="0"/>
                                          <w:marTop w:val="0"/>
                                          <w:marBottom w:val="0"/>
                                          <w:divBdr>
                                            <w:top w:val="none" w:sz="0" w:space="0" w:color="auto"/>
                                            <w:left w:val="none" w:sz="0" w:space="0" w:color="auto"/>
                                            <w:bottom w:val="none" w:sz="0" w:space="0" w:color="auto"/>
                                            <w:right w:val="none" w:sz="0" w:space="0" w:color="auto"/>
                                          </w:divBdr>
                                          <w:divsChild>
                                            <w:div w:id="1155686649">
                                              <w:marLeft w:val="0"/>
                                              <w:marRight w:val="0"/>
                                              <w:marTop w:val="0"/>
                                              <w:marBottom w:val="0"/>
                                              <w:divBdr>
                                                <w:top w:val="none" w:sz="0" w:space="0" w:color="auto"/>
                                                <w:left w:val="none" w:sz="0" w:space="0" w:color="auto"/>
                                                <w:bottom w:val="none" w:sz="0" w:space="0" w:color="auto"/>
                                                <w:right w:val="none" w:sz="0" w:space="0" w:color="auto"/>
                                              </w:divBdr>
                                              <w:divsChild>
                                                <w:div w:id="1281104242">
                                                  <w:marLeft w:val="0"/>
                                                  <w:marRight w:val="0"/>
                                                  <w:marTop w:val="0"/>
                                                  <w:marBottom w:val="0"/>
                                                  <w:divBdr>
                                                    <w:top w:val="none" w:sz="0" w:space="0" w:color="auto"/>
                                                    <w:left w:val="none" w:sz="0" w:space="0" w:color="auto"/>
                                                    <w:bottom w:val="none" w:sz="0" w:space="0" w:color="auto"/>
                                                    <w:right w:val="none" w:sz="0" w:space="0" w:color="auto"/>
                                                  </w:divBdr>
                                                  <w:divsChild>
                                                    <w:div w:id="1534684269">
                                                      <w:marLeft w:val="0"/>
                                                      <w:marRight w:val="0"/>
                                                      <w:marTop w:val="0"/>
                                                      <w:marBottom w:val="0"/>
                                                      <w:divBdr>
                                                        <w:top w:val="none" w:sz="0" w:space="0" w:color="auto"/>
                                                        <w:left w:val="none" w:sz="0" w:space="0" w:color="auto"/>
                                                        <w:bottom w:val="none" w:sz="0" w:space="0" w:color="auto"/>
                                                        <w:right w:val="none" w:sz="0" w:space="0" w:color="auto"/>
                                                      </w:divBdr>
                                                      <w:divsChild>
                                                        <w:div w:id="1487938913">
                                                          <w:marLeft w:val="0"/>
                                                          <w:marRight w:val="0"/>
                                                          <w:marTop w:val="0"/>
                                                          <w:marBottom w:val="0"/>
                                                          <w:divBdr>
                                                            <w:top w:val="none" w:sz="0" w:space="0" w:color="auto"/>
                                                            <w:left w:val="none" w:sz="0" w:space="0" w:color="auto"/>
                                                            <w:bottom w:val="none" w:sz="0" w:space="0" w:color="auto"/>
                                                            <w:right w:val="none" w:sz="0" w:space="0" w:color="auto"/>
                                                          </w:divBdr>
                                                        </w:div>
                                                        <w:div w:id="45366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03FAC-6010-4AC4-B316-A5A34ABAA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318</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DETERMINATION AND FINDINGS</vt:lpstr>
    </vt:vector>
  </TitlesOfParts>
  <Company>Microsoft</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AND FINDINGS</dc:title>
  <dc:creator>Anthony T. Lee</dc:creator>
  <cp:lastModifiedBy>Eric Scott</cp:lastModifiedBy>
  <cp:revision>7</cp:revision>
  <cp:lastPrinted>2018-09-19T21:41:00Z</cp:lastPrinted>
  <dcterms:created xsi:type="dcterms:W3CDTF">2021-09-27T17:35:00Z</dcterms:created>
  <dcterms:modified xsi:type="dcterms:W3CDTF">2022-09-27T15:06:00Z</dcterms:modified>
</cp:coreProperties>
</file>