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240"/>
      </w:tblGrid>
      <w:tr w:rsidR="00577E4E" w:rsidRPr="00577E4E" w14:paraId="2D490A47" w14:textId="77777777" w:rsidTr="00577E4E">
        <w:trPr>
          <w:tblCellSpacing w:w="0" w:type="dxa"/>
          <w:jc w:val="center"/>
        </w:trPr>
        <w:tc>
          <w:tcPr>
            <w:tcW w:w="0" w:type="auto"/>
            <w:tcBorders>
              <w:top w:val="single" w:sz="48" w:space="0" w:color="294B93"/>
              <w:left w:val="single" w:sz="48" w:space="0" w:color="294B93"/>
              <w:bottom w:val="single" w:sz="48" w:space="0" w:color="294B93"/>
              <w:right w:val="single" w:sz="48" w:space="0" w:color="294B93"/>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1BDFE986"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DDCA9DA" w14:textId="77777777">
                    <w:trPr>
                      <w:tblCellSpacing w:w="0" w:type="dxa"/>
                      <w:jc w:val="center"/>
                    </w:trPr>
                    <w:tc>
                      <w:tcPr>
                        <w:tcW w:w="0" w:type="auto"/>
                        <w:tcMar>
                          <w:top w:w="150" w:type="dxa"/>
                          <w:left w:w="0" w:type="dxa"/>
                          <w:bottom w:w="150" w:type="dxa"/>
                          <w:right w:w="0" w:type="dxa"/>
                        </w:tcMar>
                        <w:hideMark/>
                      </w:tcPr>
                      <w:p w14:paraId="30BE4152"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661C21E1" wp14:editId="3D03B0FC">
                              <wp:extent cx="2260600" cy="1035050"/>
                              <wp:effectExtent l="0" t="0" r="6350" b="0"/>
                              <wp:docPr id="1" name="Picture 46">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tgtFrame="&quot;_blank&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0600" cy="1035050"/>
                                      </a:xfrm>
                                      <a:prstGeom prst="rect">
                                        <a:avLst/>
                                      </a:prstGeom>
                                      <a:noFill/>
                                      <a:ln>
                                        <a:noFill/>
                                      </a:ln>
                                    </pic:spPr>
                                  </pic:pic>
                                </a:graphicData>
                              </a:graphic>
                            </wp:inline>
                          </w:drawing>
                        </w:r>
                      </w:p>
                    </w:tc>
                  </w:tr>
                </w:tbl>
                <w:p w14:paraId="656CD979"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80E891A"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1A6BAE2"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52F1293" w14:textId="77777777">
                    <w:trPr>
                      <w:tblCellSpacing w:w="0" w:type="dxa"/>
                      <w:jc w:val="center"/>
                    </w:trPr>
                    <w:tc>
                      <w:tcPr>
                        <w:tcW w:w="0" w:type="auto"/>
                        <w:tcMar>
                          <w:top w:w="150" w:type="dxa"/>
                          <w:left w:w="0" w:type="dxa"/>
                          <w:bottom w:w="150" w:type="dxa"/>
                          <w:right w:w="0" w:type="dxa"/>
                        </w:tcMar>
                        <w:hideMark/>
                      </w:tcPr>
                      <w:p w14:paraId="60AE98F6"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756265C9" wp14:editId="5AE7CFD9">
                              <wp:extent cx="5715000" cy="2876550"/>
                              <wp:effectExtent l="0" t="0" r="0" b="0"/>
                              <wp:docPr id="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p>
                    </w:tc>
                  </w:tr>
                </w:tbl>
                <w:p w14:paraId="19E858E3"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45C2F57"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3A4188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90BBC86" w14:textId="77777777">
                    <w:trPr>
                      <w:tblCellSpacing w:w="0" w:type="dxa"/>
                      <w:jc w:val="center"/>
                    </w:trPr>
                    <w:tc>
                      <w:tcPr>
                        <w:tcW w:w="0" w:type="auto"/>
                        <w:tcMar>
                          <w:top w:w="150" w:type="dxa"/>
                          <w:left w:w="300" w:type="dxa"/>
                          <w:bottom w:w="150" w:type="dxa"/>
                          <w:right w:w="300" w:type="dxa"/>
                        </w:tcMar>
                        <w:hideMark/>
                      </w:tcPr>
                      <w:p w14:paraId="0F910223"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b/>
                            <w:bCs/>
                            <w:color w:val="000000"/>
                            <w:kern w:val="0"/>
                            <w:sz w:val="39"/>
                            <w:szCs w:val="39"/>
                            <w:bdr w:val="none" w:sz="0" w:space="0" w:color="auto" w:frame="1"/>
                            <w14:ligatures w14:val="none"/>
                          </w:rPr>
                          <w:t>June 2024</w:t>
                        </w:r>
                      </w:p>
                    </w:tc>
                  </w:tr>
                </w:tbl>
                <w:p w14:paraId="624C4947"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694D2CC2"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415A03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EE1ADA9" w14:textId="77777777">
                    <w:trPr>
                      <w:tblCellSpacing w:w="0" w:type="dxa"/>
                      <w:jc w:val="center"/>
                    </w:trPr>
                    <w:tc>
                      <w:tcPr>
                        <w:tcW w:w="5000" w:type="pct"/>
                        <w:tcMar>
                          <w:top w:w="135" w:type="dxa"/>
                          <w:left w:w="0" w:type="dxa"/>
                          <w:bottom w:w="135"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577E4E" w:rsidRPr="00577E4E" w14:paraId="310153F9" w14:textId="77777777">
                          <w:trPr>
                            <w:trHeight w:val="15"/>
                            <w:tblCellSpacing w:w="0" w:type="dxa"/>
                            <w:jc w:val="center"/>
                          </w:trPr>
                          <w:tc>
                            <w:tcPr>
                              <w:tcW w:w="0" w:type="auto"/>
                              <w:tcBorders>
                                <w:bottom w:val="nil"/>
                              </w:tcBorders>
                              <w:shd w:val="clear" w:color="auto" w:fill="101E3B"/>
                              <w:vAlign w:val="center"/>
                              <w:hideMark/>
                            </w:tcPr>
                            <w:p w14:paraId="50BB0024"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0A1D8D2E" wp14:editId="2ABDCCEB">
                                    <wp:extent cx="44450" cy="6350"/>
                                    <wp:effectExtent l="0" t="0" r="0" b="0"/>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AFF4AB4"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42D0172B"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0CB13947"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B2E7AE9"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8F9C388"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577E4E" w:rsidRPr="00577E4E" w14:paraId="5F94DB68" w14:textId="77777777">
                          <w:trPr>
                            <w:trHeight w:val="15"/>
                            <w:tblCellSpacing w:w="0" w:type="dxa"/>
                          </w:trPr>
                          <w:tc>
                            <w:tcPr>
                              <w:tcW w:w="225" w:type="dxa"/>
                              <w:hideMark/>
                            </w:tcPr>
                            <w:p w14:paraId="05EF089A"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4E6B177B" wp14:editId="7D70A7CA">
                                    <wp:extent cx="139700" cy="6350"/>
                                    <wp:effectExtent l="0" t="0" r="0"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3E29AB13" w14:textId="77777777" w:rsidR="00577E4E" w:rsidRPr="00577E4E" w:rsidRDefault="00577E4E" w:rsidP="00577E4E">
                              <w:pPr>
                                <w:spacing w:after="0" w:line="240" w:lineRule="auto"/>
                                <w:jc w:val="right"/>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65E1F5FA" wp14:editId="067120CB">
                                    <wp:extent cx="1905000" cy="2381250"/>
                                    <wp:effectExtent l="0" t="0" r="0"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p>
                          </w:tc>
                        </w:tr>
                      </w:tbl>
                      <w:p w14:paraId="6CB20703"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39"/>
                            <w:szCs w:val="39"/>
                            <w:bdr w:val="none" w:sz="0" w:space="0" w:color="auto" w:frame="1"/>
                            <w14:ligatures w14:val="none"/>
                          </w:rPr>
                          <w:t>A Note from Your</w:t>
                        </w:r>
                      </w:p>
                      <w:p w14:paraId="04C3DCF4"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39"/>
                            <w:szCs w:val="39"/>
                            <w:bdr w:val="none" w:sz="0" w:space="0" w:color="auto" w:frame="1"/>
                            <w14:ligatures w14:val="none"/>
                          </w:rPr>
                          <w:t>People's Counsel</w:t>
                        </w:r>
                      </w:p>
                      <w:p w14:paraId="69002E9E"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39"/>
                            <w:szCs w:val="39"/>
                            <w:bdr w:val="none" w:sz="0" w:space="0" w:color="auto" w:frame="1"/>
                            <w14:ligatures w14:val="none"/>
                          </w:rPr>
                          <w:t>Sandra Mattavous-Frye</w:t>
                        </w:r>
                      </w:p>
                      <w:p w14:paraId="4709432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4962349D"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inherit" w:eastAsia="Times New Roman" w:hAnsi="inherit" w:cs="Arial"/>
                            <w:b/>
                            <w:bCs/>
                            <w:color w:val="000000"/>
                            <w:kern w:val="0"/>
                            <w:sz w:val="39"/>
                            <w:szCs w:val="39"/>
                            <w:bdr w:val="none" w:sz="0" w:space="0" w:color="auto" w:frame="1"/>
                            <w14:ligatures w14:val="none"/>
                          </w:rPr>
                          <w:t>Advice From the Community is Critical</w:t>
                        </w:r>
                      </w:p>
                      <w:p w14:paraId="5789582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4B06D5CF"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Tahoma" w:eastAsia="Times New Roman" w:hAnsi="Tahoma" w:cs="Tahoma"/>
                            <w:b/>
                            <w:bCs/>
                            <w:kern w:val="0"/>
                            <w:sz w:val="39"/>
                            <w:szCs w:val="39"/>
                            <w:bdr w:val="none" w:sz="0" w:space="0" w:color="auto" w:frame="1"/>
                            <w14:ligatures w14:val="none"/>
                          </w:rPr>
                          <w:t>﻿</w:t>
                        </w:r>
                        <w:r w:rsidRPr="00577E4E">
                          <w:rPr>
                            <w:rFonts w:ascii="Arial" w:eastAsia="Times New Roman" w:hAnsi="Arial" w:cs="Arial"/>
                            <w:kern w:val="0"/>
                            <w:sz w:val="29"/>
                            <w:szCs w:val="29"/>
                            <w:bdr w:val="none" w:sz="0" w:space="0" w:color="auto" w:frame="1"/>
                            <w14:ligatures w14:val="none"/>
                          </w:rPr>
                          <w:t xml:space="preserve">Earlier this month, OPC was pleased to host a briefing on current utility issues for the District’s Advisory Neighborhood Commissioners. I shared with the diverse assembly of newly elected and continuing ANCs that </w:t>
                        </w:r>
                        <w:r w:rsidRPr="00577E4E">
                          <w:rPr>
                            <w:rFonts w:ascii="Arial" w:eastAsia="Times New Roman" w:hAnsi="Arial" w:cs="Arial"/>
                            <w:kern w:val="0"/>
                            <w:sz w:val="29"/>
                            <w:szCs w:val="29"/>
                            <w:bdr w:val="none" w:sz="0" w:space="0" w:color="auto" w:frame="1"/>
                            <w14:ligatures w14:val="none"/>
                          </w:rPr>
                          <w:lastRenderedPageBreak/>
                          <w:t>OPC’s relationship with them is essential to upholding the important governing principle that requires city officials to give "Great Weight" to testimony and recommendations made by ANC commissioners on issues affecting their communities. I reminded the legacy commissioners and informed the new commissioners of the three decades of collaboration between OPC and ANCs. OPC believes community leaders have the power but need the correct data to use it effectively.</w:t>
                        </w:r>
                      </w:p>
                      <w:p w14:paraId="60454EA6"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5DE71816"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I shared OPC’s vision for energy efficiency, increased sustainability, resilient infrastructure, and our goal to enhance the overall quality of life for District residents through advocacy on utility matters. </w:t>
                        </w:r>
                      </w:p>
                      <w:p w14:paraId="0593DF6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14EE6356"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We shared several initiatives and rate cases that OPC is working on. These include modernizing utility infrastructure, as needed and justified by correct data, the city's</w:t>
                        </w:r>
                        <w:r w:rsidRPr="00577E4E">
                          <w:rPr>
                            <w:rFonts w:ascii="Arial" w:eastAsia="Times New Roman" w:hAnsi="Arial" w:cs="Arial"/>
                            <w:b/>
                            <w:bCs/>
                            <w:color w:val="000000"/>
                            <w:kern w:val="0"/>
                            <w:sz w:val="29"/>
                            <w:szCs w:val="29"/>
                            <w:bdr w:val="none" w:sz="0" w:space="0" w:color="auto" w:frame="1"/>
                            <w14:ligatures w14:val="none"/>
                          </w:rPr>
                          <w:t> </w:t>
                        </w:r>
                        <w:hyperlink r:id="rId10" w:tgtFrame="_blank" w:history="1">
                          <w:r w:rsidRPr="00577E4E">
                            <w:rPr>
                              <w:rFonts w:ascii="Arial" w:eastAsia="Times New Roman" w:hAnsi="Arial" w:cs="Arial"/>
                              <w:b/>
                              <w:bCs/>
                              <w:color w:val="0000FF"/>
                              <w:kern w:val="0"/>
                              <w:sz w:val="29"/>
                              <w:szCs w:val="29"/>
                              <w:u w:val="single"/>
                              <w:bdr w:val="none" w:sz="0" w:space="0" w:color="auto" w:frame="1"/>
                              <w14:ligatures w14:val="none"/>
                            </w:rPr>
                            <w:t>Solar for All</w:t>
                          </w:r>
                        </w:hyperlink>
                        <w:r w:rsidRPr="00577E4E">
                          <w:rPr>
                            <w:rFonts w:ascii="inherit" w:eastAsia="Times New Roman" w:hAnsi="inherit" w:cs="Arial"/>
                            <w:color w:val="000000"/>
                            <w:kern w:val="0"/>
                            <w:sz w:val="29"/>
                            <w:szCs w:val="29"/>
                            <w:bdr w:val="none" w:sz="0" w:space="0" w:color="auto" w:frame="1"/>
                            <w14:ligatures w14:val="none"/>
                          </w:rPr>
                          <w:t> </w:t>
                        </w:r>
                        <w:r w:rsidRPr="00577E4E">
                          <w:rPr>
                            <w:rFonts w:ascii="Arial" w:eastAsia="Times New Roman" w:hAnsi="Arial" w:cs="Arial"/>
                            <w:kern w:val="0"/>
                            <w:sz w:val="29"/>
                            <w:szCs w:val="29"/>
                            <w:bdr w:val="none" w:sz="0" w:space="0" w:color="auto" w:frame="1"/>
                            <w14:ligatures w14:val="none"/>
                          </w:rPr>
                          <w:t>program, the Benning Road power plant cleanup, Washington Gas's </w:t>
                        </w:r>
                        <w:proofErr w:type="spellStart"/>
                        <w:r w:rsidRPr="00577E4E">
                          <w:rPr>
                            <w:rFonts w:ascii="Arial" w:eastAsia="Times New Roman" w:hAnsi="Arial" w:cs="Arial"/>
                            <w:color w:val="000000"/>
                            <w:kern w:val="0"/>
                            <w:sz w:val="29"/>
                            <w:szCs w:val="29"/>
                            <w:bdr w:val="none" w:sz="0" w:space="0" w:color="auto" w:frame="1"/>
                            <w14:ligatures w14:val="none"/>
                          </w:rPr>
                          <w:t>PROJECT</w:t>
                        </w:r>
                        <w:r w:rsidRPr="00577E4E">
                          <w:rPr>
                            <w:rFonts w:ascii="Arial" w:eastAsia="Times New Roman" w:hAnsi="Arial" w:cs="Arial"/>
                            <w:i/>
                            <w:iCs/>
                            <w:color w:val="000000"/>
                            <w:kern w:val="0"/>
                            <w:sz w:val="29"/>
                            <w:szCs w:val="29"/>
                            <w:bdr w:val="none" w:sz="0" w:space="0" w:color="auto" w:frame="1"/>
                            <w14:ligatures w14:val="none"/>
                          </w:rPr>
                          <w:t>pipes</w:t>
                        </w:r>
                        <w:proofErr w:type="spellEnd"/>
                        <w:r w:rsidRPr="00577E4E">
                          <w:rPr>
                            <w:rFonts w:ascii="Arial" w:eastAsia="Times New Roman" w:hAnsi="Arial" w:cs="Arial"/>
                            <w:color w:val="000000"/>
                            <w:kern w:val="0"/>
                            <w:sz w:val="29"/>
                            <w:szCs w:val="29"/>
                            <w:bdr w:val="none" w:sz="0" w:space="0" w:color="auto" w:frame="1"/>
                            <w14:ligatures w14:val="none"/>
                          </w:rPr>
                          <w:t>, </w:t>
                        </w:r>
                        <w:r w:rsidRPr="00577E4E">
                          <w:rPr>
                            <w:rFonts w:ascii="Arial" w:eastAsia="Times New Roman" w:hAnsi="Arial" w:cs="Arial"/>
                            <w:kern w:val="0"/>
                            <w:sz w:val="29"/>
                            <w:szCs w:val="29"/>
                            <w:bdr w:val="none" w:sz="0" w:space="0" w:color="auto" w:frame="1"/>
                            <w14:ligatures w14:val="none"/>
                          </w:rPr>
                          <w:t>utility climate business plans, and the questionable practices of some third-party energy suppliers. The outcome of these cases will set the stage for the future.</w:t>
                        </w:r>
                      </w:p>
                      <w:p w14:paraId="1865A9D2"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0F308D06"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Additionally, I informed the commissioners that OPC is working on decarbonization issues consistent with the District’s clean energy goals, affordability issues, and my desire to get more consumers to use or install </w:t>
                        </w:r>
                        <w:hyperlink r:id="rId11" w:tgtFrame="_blank" w:history="1">
                          <w:r w:rsidRPr="00577E4E">
                            <w:rPr>
                              <w:rFonts w:ascii="Arial" w:eastAsia="Times New Roman" w:hAnsi="Arial" w:cs="Arial"/>
                              <w:b/>
                              <w:bCs/>
                              <w:color w:val="0000FF"/>
                              <w:kern w:val="0"/>
                              <w:sz w:val="29"/>
                              <w:szCs w:val="29"/>
                              <w:u w:val="single"/>
                              <w:bdr w:val="none" w:sz="0" w:space="0" w:color="auto" w:frame="1"/>
                              <w14:ligatures w14:val="none"/>
                            </w:rPr>
                            <w:t>energy efficient</w:t>
                          </w:r>
                        </w:hyperlink>
                        <w:r w:rsidRPr="00577E4E">
                          <w:rPr>
                            <w:rFonts w:ascii="Arial" w:eastAsia="Times New Roman" w:hAnsi="Arial" w:cs="Arial"/>
                            <w:color w:val="000000"/>
                            <w:kern w:val="0"/>
                            <w:sz w:val="24"/>
                            <w:szCs w:val="24"/>
                            <w14:ligatures w14:val="none"/>
                          </w:rPr>
                          <w:t> </w:t>
                        </w:r>
                        <w:r w:rsidRPr="00577E4E">
                          <w:rPr>
                            <w:rFonts w:ascii="Arial" w:eastAsia="Times New Roman" w:hAnsi="Arial" w:cs="Arial"/>
                            <w:kern w:val="0"/>
                            <w:sz w:val="29"/>
                            <w:szCs w:val="29"/>
                            <w:bdr w:val="none" w:sz="0" w:space="0" w:color="auto" w:frame="1"/>
                            <w14:ligatures w14:val="none"/>
                          </w:rPr>
                          <w:t>appliances, and lighting and heating/cooling systems, and take advantage of the many free programs and upgrade opportunities available through the</w:t>
                        </w:r>
                        <w:r w:rsidRPr="00577E4E">
                          <w:rPr>
                            <w:rFonts w:ascii="Arial" w:eastAsia="Times New Roman" w:hAnsi="Arial" w:cs="Arial"/>
                            <w:color w:val="000000"/>
                            <w:kern w:val="0"/>
                            <w:sz w:val="29"/>
                            <w:szCs w:val="29"/>
                            <w:bdr w:val="none" w:sz="0" w:space="0" w:color="auto" w:frame="1"/>
                            <w14:ligatures w14:val="none"/>
                          </w:rPr>
                          <w:t> </w:t>
                        </w:r>
                        <w:hyperlink r:id="rId12" w:tgtFrame="_blank" w:history="1">
                          <w:r w:rsidRPr="00577E4E">
                            <w:rPr>
                              <w:rFonts w:ascii="inherit" w:eastAsia="Times New Roman" w:hAnsi="inherit" w:cs="Arial"/>
                              <w:b/>
                              <w:bCs/>
                              <w:color w:val="0000FF"/>
                              <w:kern w:val="0"/>
                              <w:sz w:val="29"/>
                              <w:szCs w:val="29"/>
                              <w:u w:val="single"/>
                              <w:bdr w:val="none" w:sz="0" w:space="0" w:color="auto" w:frame="1"/>
                              <w14:ligatures w14:val="none"/>
                            </w:rPr>
                            <w:t>DC government. </w:t>
                          </w:r>
                        </w:hyperlink>
                      </w:p>
                      <w:p w14:paraId="549EC757"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6A523C3B"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My staff members explained OPC’s role in the regulatory process, our broad-based consumer education and outreach strategy that includes working with the student climate leaders of tomorrow, and how we work daily to resolve consumer complaints against the utilities. The commissioners asked about the future of electrification and what may lie ahead for Washington Gas as reliance on fossil fuels is drastically reduced.</w:t>
                        </w:r>
                      </w:p>
                      <w:p w14:paraId="6FDD854A"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204F4A4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lastRenderedPageBreak/>
                          <w:t>OPC is committed to regularly briefing a wide spectrum of community leaders as well as individuals. If you or your organization would like to host an OPC speaker at your next community meeting in person or virtually, contact us at (202) 727-3071. If you are an Advisory Neighborhood Commissioner who was unable to attend the June 3rd briefing, please send us an email at</w:t>
                        </w:r>
                        <w:r w:rsidRPr="00577E4E">
                          <w:rPr>
                            <w:rFonts w:ascii="Arial" w:eastAsia="Times New Roman" w:hAnsi="Arial" w:cs="Arial"/>
                            <w:color w:val="000000"/>
                            <w:kern w:val="0"/>
                            <w:sz w:val="29"/>
                            <w:szCs w:val="29"/>
                            <w:bdr w:val="none" w:sz="0" w:space="0" w:color="auto" w:frame="1"/>
                            <w14:ligatures w14:val="none"/>
                          </w:rPr>
                          <w:t> </w:t>
                        </w:r>
                        <w:hyperlink r:id="rId13" w:history="1">
                          <w:r w:rsidRPr="00577E4E">
                            <w:rPr>
                              <w:rFonts w:ascii="Arial" w:eastAsia="Times New Roman" w:hAnsi="Arial" w:cs="Arial"/>
                              <w:color w:val="0000FF"/>
                              <w:kern w:val="0"/>
                              <w:sz w:val="29"/>
                              <w:szCs w:val="29"/>
                              <w:u w:val="single"/>
                              <w:bdr w:val="none" w:sz="0" w:space="0" w:color="auto" w:frame="1"/>
                              <w14:ligatures w14:val="none"/>
                            </w:rPr>
                            <w:t>info@opc-dc.gov</w:t>
                          </w:r>
                        </w:hyperlink>
                        <w:r w:rsidRPr="00577E4E">
                          <w:rPr>
                            <w:rFonts w:ascii="Arial" w:eastAsia="Times New Roman" w:hAnsi="Arial" w:cs="Arial"/>
                            <w:color w:val="000000"/>
                            <w:kern w:val="0"/>
                            <w:sz w:val="24"/>
                            <w:szCs w:val="24"/>
                            <w14:ligatures w14:val="none"/>
                          </w:rPr>
                          <w:t> </w:t>
                        </w:r>
                        <w:r w:rsidRPr="00577E4E">
                          <w:rPr>
                            <w:rFonts w:ascii="Arial" w:eastAsia="Times New Roman" w:hAnsi="Arial" w:cs="Arial"/>
                            <w:kern w:val="0"/>
                            <w:sz w:val="29"/>
                            <w:szCs w:val="29"/>
                            <w:bdr w:val="none" w:sz="0" w:space="0" w:color="auto" w:frame="1"/>
                            <w14:ligatures w14:val="none"/>
                          </w:rPr>
                          <w:t>to receive a link to the meeting recording. </w:t>
                        </w:r>
                      </w:p>
                      <w:p w14:paraId="1CE0D937"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 </w:t>
                        </w:r>
                      </w:p>
                    </w:tc>
                  </w:tr>
                </w:tbl>
                <w:p w14:paraId="20CF2D39" w14:textId="77777777" w:rsidR="00577E4E" w:rsidRPr="00577E4E" w:rsidRDefault="00577E4E" w:rsidP="00577E4E">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5E94BA2C"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63EB2BD9" w14:textId="77777777">
                          <w:trPr>
                            <w:trHeight w:val="15"/>
                            <w:tblCellSpacing w:w="0" w:type="dxa"/>
                            <w:jc w:val="center"/>
                          </w:trPr>
                          <w:tc>
                            <w:tcPr>
                              <w:tcW w:w="0" w:type="auto"/>
                              <w:tcBorders>
                                <w:bottom w:val="nil"/>
                              </w:tcBorders>
                              <w:shd w:val="clear" w:color="auto" w:fill="101E3B"/>
                              <w:vAlign w:val="center"/>
                              <w:hideMark/>
                            </w:tcPr>
                            <w:p w14:paraId="47069E13"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1493D8A6" wp14:editId="06EB1706">
                                    <wp:extent cx="44450" cy="6350"/>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FFE01B7"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0AB70B05"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12E0A0C"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26FE5D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3571C37A"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690"/>
                        </w:tblGrid>
                        <w:tr w:rsidR="00577E4E" w:rsidRPr="00577E4E" w14:paraId="025C8A5E" w14:textId="77777777">
                          <w:trPr>
                            <w:trHeight w:val="15"/>
                            <w:tblCellSpacing w:w="0" w:type="dxa"/>
                          </w:trPr>
                          <w:tc>
                            <w:tcPr>
                              <w:tcW w:w="225" w:type="dxa"/>
                              <w:hideMark/>
                            </w:tcPr>
                            <w:p w14:paraId="4E443A30"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03DEF5EF" wp14:editId="1B8D8082">
                                    <wp:extent cx="139700" cy="6350"/>
                                    <wp:effectExtent l="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2A791662" w14:textId="77777777" w:rsidR="00577E4E" w:rsidRPr="00577E4E" w:rsidRDefault="00577E4E" w:rsidP="00577E4E">
                              <w:pPr>
                                <w:spacing w:after="0" w:line="240" w:lineRule="auto"/>
                                <w:jc w:val="right"/>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1E87B4EC" wp14:editId="5C8571F1">
                                    <wp:extent cx="2336800" cy="1555750"/>
                                    <wp:effectExtent l="0" t="0" r="6350" b="6350"/>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0" cy="1555750"/>
                                            </a:xfrm>
                                            <a:prstGeom prst="rect">
                                              <a:avLst/>
                                            </a:prstGeom>
                                            <a:noFill/>
                                            <a:ln>
                                              <a:noFill/>
                                            </a:ln>
                                          </pic:spPr>
                                        </pic:pic>
                                      </a:graphicData>
                                    </a:graphic>
                                  </wp:inline>
                                </w:drawing>
                              </w:r>
                            </w:p>
                          </w:tc>
                        </w:tr>
                      </w:tbl>
                      <w:p w14:paraId="3334E6AE"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39"/>
                            <w:szCs w:val="39"/>
                            <w:bdr w:val="none" w:sz="0" w:space="0" w:color="auto" w:frame="1"/>
                            <w14:ligatures w14:val="none"/>
                          </w:rPr>
                          <w:t>What Neighbors Need to Know about Utility Work Notifications</w:t>
                        </w:r>
                      </w:p>
                      <w:p w14:paraId="0F827357"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1A8F77B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Tahoma" w:eastAsia="Times New Roman" w:hAnsi="Tahoma" w:cs="Tahoma"/>
                            <w:color w:val="000000"/>
                            <w:kern w:val="0"/>
                            <w:sz w:val="29"/>
                            <w:szCs w:val="29"/>
                            <w:bdr w:val="none" w:sz="0" w:space="0" w:color="auto" w:frame="1"/>
                            <w14:ligatures w14:val="none"/>
                          </w:rPr>
                          <w:t>﻿</w:t>
                        </w:r>
                        <w:r w:rsidRPr="00577E4E">
                          <w:rPr>
                            <w:rFonts w:ascii="Arial" w:eastAsia="Times New Roman" w:hAnsi="Arial" w:cs="Arial"/>
                            <w:color w:val="000000"/>
                            <w:kern w:val="0"/>
                            <w:sz w:val="29"/>
                            <w:szCs w:val="29"/>
                            <w:bdr w:val="none" w:sz="0" w:space="0" w:color="auto" w:frame="1"/>
                            <w14:ligatures w14:val="none"/>
                          </w:rPr>
                          <w:t xml:space="preserve">The maintenance and replacement of utility lines for water, gas, electricity, and telecommunications are needed across the </w:t>
                        </w:r>
                        <w:proofErr w:type="gramStart"/>
                        <w:r w:rsidRPr="00577E4E">
                          <w:rPr>
                            <w:rFonts w:ascii="Arial" w:eastAsia="Times New Roman" w:hAnsi="Arial" w:cs="Arial"/>
                            <w:color w:val="000000"/>
                            <w:kern w:val="0"/>
                            <w:sz w:val="29"/>
                            <w:szCs w:val="29"/>
                            <w:bdr w:val="none" w:sz="0" w:space="0" w:color="auto" w:frame="1"/>
                            <w14:ligatures w14:val="none"/>
                          </w:rPr>
                          <w:t>District</w:t>
                        </w:r>
                        <w:proofErr w:type="gramEnd"/>
                        <w:r w:rsidRPr="00577E4E">
                          <w:rPr>
                            <w:rFonts w:ascii="Arial" w:eastAsia="Times New Roman" w:hAnsi="Arial" w:cs="Arial"/>
                            <w:color w:val="000000"/>
                            <w:kern w:val="0"/>
                            <w:sz w:val="29"/>
                            <w:szCs w:val="29"/>
                            <w:bdr w:val="none" w:sz="0" w:space="0" w:color="auto" w:frame="1"/>
                            <w14:ligatures w14:val="none"/>
                          </w:rPr>
                          <w:t xml:space="preserve"> to support efforts to modernize our utility networks and ensure the reliable services that </w:t>
                        </w:r>
                        <w:proofErr w:type="gramStart"/>
                        <w:r w:rsidRPr="00577E4E">
                          <w:rPr>
                            <w:rFonts w:ascii="Arial" w:eastAsia="Times New Roman" w:hAnsi="Arial" w:cs="Arial"/>
                            <w:color w:val="000000"/>
                            <w:kern w:val="0"/>
                            <w:sz w:val="29"/>
                            <w:szCs w:val="29"/>
                            <w:bdr w:val="none" w:sz="0" w:space="0" w:color="auto" w:frame="1"/>
                            <w14:ligatures w14:val="none"/>
                          </w:rPr>
                          <w:t>undergird</w:t>
                        </w:r>
                        <w:proofErr w:type="gramEnd"/>
                        <w:r w:rsidRPr="00577E4E">
                          <w:rPr>
                            <w:rFonts w:ascii="Arial" w:eastAsia="Times New Roman" w:hAnsi="Arial" w:cs="Arial"/>
                            <w:color w:val="000000"/>
                            <w:kern w:val="0"/>
                            <w:sz w:val="29"/>
                            <w:szCs w:val="29"/>
                            <w:bdr w:val="none" w:sz="0" w:space="0" w:color="auto" w:frame="1"/>
                            <w14:ligatures w14:val="none"/>
                          </w:rPr>
                          <w:t xml:space="preserve"> modern life. Therefore, consumers need to stay informed about significant utility work in their neighborhoods.</w:t>
                        </w:r>
                      </w:p>
                      <w:p w14:paraId="0CF0A0A5"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064F826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29"/>
                            <w:szCs w:val="29"/>
                            <w:bdr w:val="none" w:sz="0" w:space="0" w:color="auto" w:frame="1"/>
                            <w14:ligatures w14:val="none"/>
                          </w:rPr>
                          <w:t>Notification Practices</w:t>
                        </w:r>
                      </w:p>
                      <w:p w14:paraId="334A868E"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4D18C6F5"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While there are no explicit statutory requirements in DC laws and regulations requiring utility companies to notify residents before beginning significant work, good practices and standard customer service protocols dictate that DC Water, Pepco, and Washington Gas notify customers of planned work that will impact their service. This notification typically includes information on the project’s scope, the expected duration, and any potential disruptions to services.</w:t>
                        </w:r>
                      </w:p>
                      <w:p w14:paraId="4A9588E2"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65B124CF"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29"/>
                            <w:szCs w:val="29"/>
                            <w:bdr w:val="none" w:sz="0" w:space="0" w:color="auto" w:frame="1"/>
                            <w14:ligatures w14:val="none"/>
                          </w:rPr>
                          <w:t>What to Expect:</w:t>
                        </w:r>
                      </w:p>
                      <w:p w14:paraId="57DE09D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7C2B70FC"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lastRenderedPageBreak/>
                          <w:t xml:space="preserve">1. Advance Notice: Residents can generally expect to receive advance notice from the utilities, including Verizon, before the start of any significant work that may disrupt their service. This notification is delivered through door hangers, mailings, or community meetings. The notice will provide details </w:t>
                        </w:r>
                        <w:proofErr w:type="gramStart"/>
                        <w:r w:rsidRPr="00577E4E">
                          <w:rPr>
                            <w:rFonts w:ascii="Arial" w:eastAsia="Times New Roman" w:hAnsi="Arial" w:cs="Arial"/>
                            <w:color w:val="000000"/>
                            <w:kern w:val="0"/>
                            <w:sz w:val="29"/>
                            <w:szCs w:val="29"/>
                            <w:bdr w:val="none" w:sz="0" w:space="0" w:color="auto" w:frame="1"/>
                            <w14:ligatures w14:val="none"/>
                          </w:rPr>
                          <w:t>on</w:t>
                        </w:r>
                        <w:proofErr w:type="gramEnd"/>
                        <w:r w:rsidRPr="00577E4E">
                          <w:rPr>
                            <w:rFonts w:ascii="Arial" w:eastAsia="Times New Roman" w:hAnsi="Arial" w:cs="Arial"/>
                            <w:color w:val="000000"/>
                            <w:kern w:val="0"/>
                            <w:sz w:val="29"/>
                            <w:szCs w:val="29"/>
                            <w:bdr w:val="none" w:sz="0" w:space="0" w:color="auto" w:frame="1"/>
                            <w14:ligatures w14:val="none"/>
                          </w:rPr>
                          <w:t xml:space="preserve"> the work’s nature, the expected timeline, and any temporary impacts on services.</w:t>
                        </w:r>
                      </w:p>
                      <w:p w14:paraId="299A807D"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27400883"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2. Coordination with city authorities: Utility companies coordinate with city agencies, such as the District Department of Transportation, to obtain necessary permits and ensure that the work is conducted safely and with minimal disruption to the community.</w:t>
                        </w:r>
                      </w:p>
                      <w:p w14:paraId="5E935FE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56D32AB6"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3. Project Information: Detailed information about the project, including the specific streets and blocks affected, is often available on utility websites. Residents can check online resources or contact the utilities directly for updates on the status of a project and any anticipated service interruptions.</w:t>
                        </w:r>
                      </w:p>
                      <w:p w14:paraId="7E1A6360"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5563633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29"/>
                            <w:szCs w:val="29"/>
                            <w:bdr w:val="none" w:sz="0" w:space="0" w:color="auto" w:frame="1"/>
                            <w14:ligatures w14:val="none"/>
                          </w:rPr>
                          <w:t>Protecting Yourself from Scams</w:t>
                        </w:r>
                      </w:p>
                      <w:p w14:paraId="60E2333C"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60D4611B"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Unfortunately, utility work can sometimes attract imposters attempting to take advantage of unsuspecting residents. It’s important to remain vigilant and verify the identity of anyone claiming to be from a utility company. Legitimate employees and contractors will have proper identification and will never ask to enter your home to view your bills or request personal information. If you have any doubts, contact the utility directly to confirm the legitimacy of the individual and the work being performed.</w:t>
                        </w:r>
                      </w:p>
                      <w:p w14:paraId="4E9E409E"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2821D83F"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 xml:space="preserve">Staying informed about utility work is essential. By understanding the notification practices and being aware of potential scams, you can better prepare for any disruptions and ensure that your utility services remain safe and reliable. OPC is always here to support utility consumers and advocate for your rights. If you need </w:t>
                        </w:r>
                        <w:r w:rsidRPr="00577E4E">
                          <w:rPr>
                            <w:rFonts w:ascii="Arial" w:eastAsia="Times New Roman" w:hAnsi="Arial" w:cs="Arial"/>
                            <w:color w:val="000000"/>
                            <w:kern w:val="0"/>
                            <w:sz w:val="29"/>
                            <w:szCs w:val="29"/>
                            <w:bdr w:val="none" w:sz="0" w:space="0" w:color="auto" w:frame="1"/>
                            <w14:ligatures w14:val="none"/>
                          </w:rPr>
                          <w:lastRenderedPageBreak/>
                          <w:t>additional information, contact OPC at (202) 727-3071. Together, we can ensure a safer and healthier future for our community.</w:t>
                        </w:r>
                      </w:p>
                    </w:tc>
                  </w:tr>
                </w:tbl>
                <w:p w14:paraId="6864E9F2"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19D07B43"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28B6CB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B6D2A33"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4B188744" w14:textId="77777777">
                          <w:trPr>
                            <w:trHeight w:val="15"/>
                            <w:tblCellSpacing w:w="0" w:type="dxa"/>
                            <w:jc w:val="center"/>
                          </w:trPr>
                          <w:tc>
                            <w:tcPr>
                              <w:tcW w:w="0" w:type="auto"/>
                              <w:tcBorders>
                                <w:bottom w:val="nil"/>
                              </w:tcBorders>
                              <w:shd w:val="clear" w:color="auto" w:fill="101E3B"/>
                              <w:vAlign w:val="center"/>
                              <w:hideMark/>
                            </w:tcPr>
                            <w:p w14:paraId="6E15883D"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1777F121" wp14:editId="6F6A45F1">
                                    <wp:extent cx="44450" cy="6350"/>
                                    <wp:effectExtent l="0" t="0" r="0" b="0"/>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70A2654"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15F8BD86"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9D744D6"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F49A1A4"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9D5140C"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420"/>
                        </w:tblGrid>
                        <w:tr w:rsidR="00577E4E" w:rsidRPr="00577E4E" w14:paraId="44139DE1" w14:textId="77777777">
                          <w:trPr>
                            <w:trHeight w:val="15"/>
                            <w:tblCellSpacing w:w="0" w:type="dxa"/>
                          </w:trPr>
                          <w:tc>
                            <w:tcPr>
                              <w:tcW w:w="225" w:type="dxa"/>
                              <w:hideMark/>
                            </w:tcPr>
                            <w:p w14:paraId="127885BD"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5B0A2F47" wp14:editId="30C49308">
                                    <wp:extent cx="139700" cy="6350"/>
                                    <wp:effectExtent l="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34AF4C6C" w14:textId="77777777" w:rsidR="00577E4E" w:rsidRPr="00577E4E" w:rsidRDefault="00577E4E" w:rsidP="00577E4E">
                              <w:pPr>
                                <w:spacing w:after="0" w:line="240" w:lineRule="auto"/>
                                <w:jc w:val="right"/>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00496464" wp14:editId="68854A6F">
                                    <wp:extent cx="2171700" cy="1416050"/>
                                    <wp:effectExtent l="0" t="0" r="0" b="0"/>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416050"/>
                                            </a:xfrm>
                                            <a:prstGeom prst="rect">
                                              <a:avLst/>
                                            </a:prstGeom>
                                            <a:noFill/>
                                            <a:ln>
                                              <a:noFill/>
                                            </a:ln>
                                          </pic:spPr>
                                        </pic:pic>
                                      </a:graphicData>
                                    </a:graphic>
                                  </wp:inline>
                                </w:drawing>
                              </w:r>
                            </w:p>
                          </w:tc>
                        </w:tr>
                      </w:tbl>
                      <w:p w14:paraId="3F9CA7FD"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roofErr w:type="spellStart"/>
                        <w:r w:rsidRPr="00577E4E">
                          <w:rPr>
                            <w:rFonts w:ascii="Arial" w:eastAsia="Times New Roman" w:hAnsi="Arial" w:cs="Arial"/>
                            <w:b/>
                            <w:bCs/>
                            <w:color w:val="000000"/>
                            <w:kern w:val="0"/>
                            <w:sz w:val="39"/>
                            <w:szCs w:val="39"/>
                            <w:bdr w:val="none" w:sz="0" w:space="0" w:color="auto" w:frame="1"/>
                            <w14:ligatures w14:val="none"/>
                          </w:rPr>
                          <w:t>PROJECTp</w:t>
                        </w:r>
                        <w:r w:rsidRPr="00577E4E">
                          <w:rPr>
                            <w:rFonts w:ascii="Arial" w:eastAsia="Times New Roman" w:hAnsi="Arial" w:cs="Arial"/>
                            <w:b/>
                            <w:bCs/>
                            <w:i/>
                            <w:iCs/>
                            <w:color w:val="000000"/>
                            <w:kern w:val="0"/>
                            <w:sz w:val="39"/>
                            <w:szCs w:val="39"/>
                            <w:bdr w:val="none" w:sz="0" w:space="0" w:color="auto" w:frame="1"/>
                            <w14:ligatures w14:val="none"/>
                          </w:rPr>
                          <w:t>ipes</w:t>
                        </w:r>
                        <w:proofErr w:type="spellEnd"/>
                        <w:r w:rsidRPr="00577E4E">
                          <w:rPr>
                            <w:rFonts w:ascii="Arial" w:eastAsia="Times New Roman" w:hAnsi="Arial" w:cs="Arial"/>
                            <w:b/>
                            <w:bCs/>
                            <w:color w:val="000000"/>
                            <w:kern w:val="0"/>
                            <w:sz w:val="39"/>
                            <w:szCs w:val="39"/>
                            <w:bdr w:val="none" w:sz="0" w:space="0" w:color="auto" w:frame="1"/>
                            <w14:ligatures w14:val="none"/>
                          </w:rPr>
                          <w:t> Update</w:t>
                        </w:r>
                      </w:p>
                      <w:p w14:paraId="77E57A49"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p>
                      <w:p w14:paraId="39913982"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 xml:space="preserve">On June 12, the Public Service Commission issued an order addressing OPC's and public concerns about Washington Gas Light's </w:t>
                        </w:r>
                        <w:proofErr w:type="spellStart"/>
                        <w:r w:rsidRPr="00577E4E">
                          <w:rPr>
                            <w:rFonts w:ascii="Arial" w:eastAsia="Times New Roman" w:hAnsi="Arial" w:cs="Arial"/>
                            <w:color w:val="000000"/>
                            <w:kern w:val="0"/>
                            <w:sz w:val="29"/>
                            <w:szCs w:val="29"/>
                            <w:bdr w:val="none" w:sz="0" w:space="0" w:color="auto" w:frame="1"/>
                            <w14:ligatures w14:val="none"/>
                          </w:rPr>
                          <w:t>PROJECT</w:t>
                        </w:r>
                        <w:r w:rsidRPr="00577E4E">
                          <w:rPr>
                            <w:rFonts w:ascii="Arial" w:eastAsia="Times New Roman" w:hAnsi="Arial" w:cs="Arial"/>
                            <w:i/>
                            <w:iCs/>
                            <w:color w:val="000000"/>
                            <w:kern w:val="0"/>
                            <w:sz w:val="29"/>
                            <w:szCs w:val="29"/>
                            <w:bdr w:val="none" w:sz="0" w:space="0" w:color="auto" w:frame="1"/>
                            <w14:ligatures w14:val="none"/>
                          </w:rPr>
                          <w:t>pipes</w:t>
                        </w:r>
                        <w:proofErr w:type="spellEnd"/>
                        <w:r w:rsidRPr="00577E4E">
                          <w:rPr>
                            <w:rFonts w:ascii="Arial" w:eastAsia="Times New Roman" w:hAnsi="Arial" w:cs="Arial"/>
                            <w:color w:val="000000"/>
                            <w:kern w:val="0"/>
                            <w:sz w:val="29"/>
                            <w:szCs w:val="29"/>
                            <w:bdr w:val="none" w:sz="0" w:space="0" w:color="auto" w:frame="1"/>
                            <w14:ligatures w14:val="none"/>
                          </w:rPr>
                          <w:t> infrastructure improvement program.</w:t>
                        </w:r>
                      </w:p>
                      <w:p w14:paraId="1357F4CA"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 </w:t>
                        </w:r>
                      </w:p>
                      <w:p w14:paraId="3056A49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The Commission rejected WGL’s </w:t>
                        </w:r>
                        <w:proofErr w:type="spellStart"/>
                        <w:r w:rsidRPr="00577E4E">
                          <w:rPr>
                            <w:rFonts w:ascii="Arial" w:eastAsia="Times New Roman" w:hAnsi="Arial" w:cs="Arial"/>
                            <w:color w:val="000000"/>
                            <w:kern w:val="0"/>
                            <w:sz w:val="29"/>
                            <w:szCs w:val="29"/>
                            <w:bdr w:val="none" w:sz="0" w:space="0" w:color="auto" w:frame="1"/>
                            <w14:ligatures w14:val="none"/>
                          </w:rPr>
                          <w:t>PROJECT</w:t>
                        </w:r>
                        <w:r w:rsidRPr="00577E4E">
                          <w:rPr>
                            <w:rFonts w:ascii="Arial" w:eastAsia="Times New Roman" w:hAnsi="Arial" w:cs="Arial"/>
                            <w:i/>
                            <w:iCs/>
                            <w:color w:val="000000"/>
                            <w:kern w:val="0"/>
                            <w:sz w:val="29"/>
                            <w:szCs w:val="29"/>
                            <w:bdr w:val="none" w:sz="0" w:space="0" w:color="auto" w:frame="1"/>
                            <w14:ligatures w14:val="none"/>
                          </w:rPr>
                          <w:t>p</w:t>
                        </w:r>
                        <w:r w:rsidRPr="00577E4E">
                          <w:rPr>
                            <w:rFonts w:ascii="Arial" w:eastAsia="Times New Roman" w:hAnsi="Arial" w:cs="Arial"/>
                            <w:color w:val="000000"/>
                            <w:kern w:val="0"/>
                            <w:sz w:val="29"/>
                            <w:szCs w:val="29"/>
                            <w:bdr w:val="none" w:sz="0" w:space="0" w:color="auto" w:frame="1"/>
                            <w14:ligatures w14:val="none"/>
                          </w:rPr>
                          <w:t>ipes</w:t>
                        </w:r>
                        <w:proofErr w:type="spellEnd"/>
                        <w:r w:rsidRPr="00577E4E">
                          <w:rPr>
                            <w:rFonts w:ascii="Arial" w:eastAsia="Times New Roman" w:hAnsi="Arial" w:cs="Arial"/>
                            <w:color w:val="000000"/>
                            <w:kern w:val="0"/>
                            <w:sz w:val="29"/>
                            <w:szCs w:val="29"/>
                            <w:bdr w:val="none" w:sz="0" w:space="0" w:color="auto" w:frame="1"/>
                            <w14:ligatures w14:val="none"/>
                          </w:rPr>
                          <w:t xml:space="preserve"> 3 application and directed the company to file a new pipe replacement plan that focuses on replacing the leak-prone, highest-risk pipe segments, based on the age and material of the at-risk pipes; and aligns with the </w:t>
                        </w:r>
                        <w:proofErr w:type="gramStart"/>
                        <w:r w:rsidRPr="00577E4E">
                          <w:rPr>
                            <w:rFonts w:ascii="Arial" w:eastAsia="Times New Roman" w:hAnsi="Arial" w:cs="Arial"/>
                            <w:color w:val="000000"/>
                            <w:kern w:val="0"/>
                            <w:sz w:val="29"/>
                            <w:szCs w:val="29"/>
                            <w:bdr w:val="none" w:sz="0" w:space="0" w:color="auto" w:frame="1"/>
                            <w14:ligatures w14:val="none"/>
                          </w:rPr>
                          <w:t>District's</w:t>
                        </w:r>
                        <w:proofErr w:type="gramEnd"/>
                        <w:r w:rsidRPr="00577E4E">
                          <w:rPr>
                            <w:rFonts w:ascii="Arial" w:eastAsia="Times New Roman" w:hAnsi="Arial" w:cs="Arial"/>
                            <w:color w:val="000000"/>
                            <w:kern w:val="0"/>
                            <w:sz w:val="29"/>
                            <w:szCs w:val="29"/>
                            <w:bdr w:val="none" w:sz="0" w:space="0" w:color="auto" w:frame="1"/>
                            <w14:ligatures w14:val="none"/>
                          </w:rPr>
                          <w:t xml:space="preserve"> climate goals. The Commission order highlighted that WGL is obligated to maintain the safety and reliability of the gas distribution system regardless of the status of the pipes program.</w:t>
                        </w:r>
                      </w:p>
                      <w:p w14:paraId="06F48847"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6E1CBC5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Tahoma" w:eastAsia="Times New Roman" w:hAnsi="Tahoma" w:cs="Tahoma"/>
                            <w:color w:val="000000"/>
                            <w:kern w:val="0"/>
                            <w:sz w:val="29"/>
                            <w:szCs w:val="29"/>
                            <w:bdr w:val="none" w:sz="0" w:space="0" w:color="auto" w:frame="1"/>
                            <w14:ligatures w14:val="none"/>
                          </w:rPr>
                          <w:t>﻿</w:t>
                        </w:r>
                        <w:r w:rsidRPr="00577E4E">
                          <w:rPr>
                            <w:rFonts w:ascii="Arial" w:eastAsia="Times New Roman" w:hAnsi="Arial" w:cs="Arial"/>
                            <w:color w:val="000000"/>
                            <w:kern w:val="0"/>
                            <w:sz w:val="29"/>
                            <w:szCs w:val="29"/>
                            <w:bdr w:val="none" w:sz="0" w:space="0" w:color="auto" w:frame="1"/>
                            <w14:ligatures w14:val="none"/>
                          </w:rPr>
                          <w:t xml:space="preserve">The order also addressed an independent audit report on </w:t>
                        </w:r>
                        <w:proofErr w:type="spellStart"/>
                        <w:r w:rsidRPr="00577E4E">
                          <w:rPr>
                            <w:rFonts w:ascii="Arial" w:eastAsia="Times New Roman" w:hAnsi="Arial" w:cs="Arial"/>
                            <w:color w:val="000000"/>
                            <w:kern w:val="0"/>
                            <w:sz w:val="29"/>
                            <w:szCs w:val="29"/>
                            <w:bdr w:val="none" w:sz="0" w:space="0" w:color="auto" w:frame="1"/>
                            <w14:ligatures w14:val="none"/>
                          </w:rPr>
                          <w:t>PROJECT</w:t>
                        </w:r>
                        <w:r w:rsidRPr="00577E4E">
                          <w:rPr>
                            <w:rFonts w:ascii="Arial" w:eastAsia="Times New Roman" w:hAnsi="Arial" w:cs="Arial"/>
                            <w:i/>
                            <w:iCs/>
                            <w:color w:val="000000"/>
                            <w:kern w:val="0"/>
                            <w:sz w:val="29"/>
                            <w:szCs w:val="29"/>
                            <w:bdr w:val="none" w:sz="0" w:space="0" w:color="auto" w:frame="1"/>
                            <w14:ligatures w14:val="none"/>
                          </w:rPr>
                          <w:t>p</w:t>
                        </w:r>
                        <w:r w:rsidRPr="00577E4E">
                          <w:rPr>
                            <w:rFonts w:ascii="Arial" w:eastAsia="Times New Roman" w:hAnsi="Arial" w:cs="Arial"/>
                            <w:color w:val="000000"/>
                            <w:kern w:val="0"/>
                            <w:sz w:val="29"/>
                            <w:szCs w:val="29"/>
                            <w:bdr w:val="none" w:sz="0" w:space="0" w:color="auto" w:frame="1"/>
                            <w14:ligatures w14:val="none"/>
                          </w:rPr>
                          <w:t>ipes</w:t>
                        </w:r>
                        <w:proofErr w:type="spellEnd"/>
                        <w:r w:rsidRPr="00577E4E">
                          <w:rPr>
                            <w:rFonts w:ascii="Arial" w:eastAsia="Times New Roman" w:hAnsi="Arial" w:cs="Arial"/>
                            <w:color w:val="000000"/>
                            <w:kern w:val="0"/>
                            <w:sz w:val="29"/>
                            <w:szCs w:val="29"/>
                            <w:bdr w:val="none" w:sz="0" w:space="0" w:color="auto" w:frame="1"/>
                            <w14:ligatures w14:val="none"/>
                          </w:rPr>
                          <w:t>. The Commission partially accepted the audit report but rejected recommendations to give WGL more flexibility to backfill work or to adopt a costly Graphic Information System or “computer-based” spatial mapping technology.</w:t>
                        </w:r>
                      </w:p>
                      <w:p w14:paraId="5F7270C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 </w:t>
                        </w:r>
                      </w:p>
                      <w:p w14:paraId="445D896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Finally, the Commission established a procedural schedule that will consider a new pipe replacement plan that WGL must submit by July 29, 2024.</w:t>
                        </w:r>
                      </w:p>
                      <w:p w14:paraId="536C87E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 </w:t>
                        </w:r>
                      </w:p>
                      <w:p w14:paraId="05A6D38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242424"/>
                            <w:kern w:val="0"/>
                            <w:sz w:val="29"/>
                            <w:szCs w:val="29"/>
                            <w:bdr w:val="none" w:sz="0" w:space="0" w:color="auto" w:frame="1"/>
                            <w14:ligatures w14:val="none"/>
                          </w:rPr>
                          <w:t>OPC is pleased that </w:t>
                        </w:r>
                        <w:proofErr w:type="spellStart"/>
                        <w:r w:rsidRPr="00577E4E">
                          <w:rPr>
                            <w:rFonts w:ascii="Arial" w:eastAsia="Times New Roman" w:hAnsi="Arial" w:cs="Arial"/>
                            <w:color w:val="000000"/>
                            <w:kern w:val="0"/>
                            <w:sz w:val="29"/>
                            <w:szCs w:val="29"/>
                            <w:bdr w:val="none" w:sz="0" w:space="0" w:color="auto" w:frame="1"/>
                            <w14:ligatures w14:val="none"/>
                          </w:rPr>
                          <w:t>PROJECT</w:t>
                        </w:r>
                        <w:r w:rsidRPr="00577E4E">
                          <w:rPr>
                            <w:rFonts w:ascii="Arial" w:eastAsia="Times New Roman" w:hAnsi="Arial" w:cs="Arial"/>
                            <w:i/>
                            <w:iCs/>
                            <w:color w:val="000000"/>
                            <w:kern w:val="0"/>
                            <w:sz w:val="29"/>
                            <w:szCs w:val="29"/>
                            <w:bdr w:val="none" w:sz="0" w:space="0" w:color="auto" w:frame="1"/>
                            <w14:ligatures w14:val="none"/>
                          </w:rPr>
                          <w:t>p</w:t>
                        </w:r>
                        <w:r w:rsidRPr="00577E4E">
                          <w:rPr>
                            <w:rFonts w:ascii="Arial" w:eastAsia="Times New Roman" w:hAnsi="Arial" w:cs="Arial"/>
                            <w:color w:val="000000"/>
                            <w:kern w:val="0"/>
                            <w:sz w:val="29"/>
                            <w:szCs w:val="29"/>
                            <w:bdr w:val="none" w:sz="0" w:space="0" w:color="auto" w:frame="1"/>
                            <w14:ligatures w14:val="none"/>
                          </w:rPr>
                          <w:t>ipes</w:t>
                        </w:r>
                        <w:proofErr w:type="spellEnd"/>
                        <w:r w:rsidRPr="00577E4E">
                          <w:rPr>
                            <w:rFonts w:ascii="Arial" w:eastAsia="Times New Roman" w:hAnsi="Arial" w:cs="Arial"/>
                            <w:color w:val="000000"/>
                            <w:kern w:val="0"/>
                            <w:sz w:val="29"/>
                            <w:szCs w:val="29"/>
                            <w:bdr w:val="none" w:sz="0" w:space="0" w:color="auto" w:frame="1"/>
                            <w14:ligatures w14:val="none"/>
                          </w:rPr>
                          <w:t xml:space="preserve"> 3 wa</w:t>
                        </w:r>
                        <w:r w:rsidRPr="00577E4E">
                          <w:rPr>
                            <w:rFonts w:ascii="Arial" w:eastAsia="Times New Roman" w:hAnsi="Arial" w:cs="Arial"/>
                            <w:color w:val="242424"/>
                            <w:kern w:val="0"/>
                            <w:sz w:val="29"/>
                            <w:szCs w:val="29"/>
                            <w:bdr w:val="none" w:sz="0" w:space="0" w:color="auto" w:frame="1"/>
                            <w14:ligatures w14:val="none"/>
                          </w:rPr>
                          <w:t>s rejected. We are concerned that the revised plan may be no different than an earlier plan. One big concern is that the company will still seek to accelerate recovery of the cost of the project from ratepayers. OPC will advocate for a plan that replaces pipes in a cost-</w:t>
                        </w:r>
                        <w:r w:rsidRPr="00577E4E">
                          <w:rPr>
                            <w:rFonts w:ascii="Arial" w:eastAsia="Times New Roman" w:hAnsi="Arial" w:cs="Arial"/>
                            <w:color w:val="242424"/>
                            <w:kern w:val="0"/>
                            <w:sz w:val="29"/>
                            <w:szCs w:val="29"/>
                            <w:bdr w:val="none" w:sz="0" w:space="0" w:color="auto" w:frame="1"/>
                            <w14:ligatures w14:val="none"/>
                          </w:rPr>
                          <w:lastRenderedPageBreak/>
                          <w:t>efficient manner and reduces the number of the most serious gas leaks.</w:t>
                        </w:r>
                      </w:p>
                      <w:p w14:paraId="6C0DD2BC"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695A575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242424"/>
                            <w:kern w:val="0"/>
                            <w:sz w:val="29"/>
                            <w:szCs w:val="29"/>
                            <w:bdr w:val="none" w:sz="0" w:space="0" w:color="auto" w:frame="1"/>
                            <w14:ligatures w14:val="none"/>
                          </w:rPr>
                          <w:t>Meanwhile, in case you missed it, OPC scored a big win for consumers on June 12 when the Commission agreed to investigate Washington Gas leaks in response to a petition OPC filed. See this </w:t>
                        </w:r>
                        <w:hyperlink r:id="rId16" w:tgtFrame="_blank" w:history="1">
                          <w:r w:rsidRPr="00577E4E">
                            <w:rPr>
                              <w:rFonts w:ascii="Arial" w:eastAsia="Times New Roman" w:hAnsi="Arial" w:cs="Arial"/>
                              <w:b/>
                              <w:bCs/>
                              <w:color w:val="0000FF"/>
                              <w:kern w:val="0"/>
                              <w:sz w:val="29"/>
                              <w:szCs w:val="29"/>
                              <w:u w:val="single"/>
                              <w:bdr w:val="none" w:sz="0" w:space="0" w:color="auto" w:frame="1"/>
                              <w14:ligatures w14:val="none"/>
                            </w:rPr>
                            <w:t>link</w:t>
                          </w:r>
                        </w:hyperlink>
                        <w:r w:rsidRPr="00577E4E">
                          <w:rPr>
                            <w:rFonts w:ascii="Arial" w:eastAsia="Times New Roman" w:hAnsi="Arial" w:cs="Arial"/>
                            <w:color w:val="242424"/>
                            <w:kern w:val="0"/>
                            <w:sz w:val="29"/>
                            <w:szCs w:val="29"/>
                            <w:bdr w:val="none" w:sz="0" w:space="0" w:color="auto" w:frame="1"/>
                            <w14:ligatures w14:val="none"/>
                          </w:rPr>
                          <w:t>.</w:t>
                        </w:r>
                      </w:p>
                    </w:tc>
                  </w:tr>
                </w:tbl>
                <w:p w14:paraId="0E6EE4BB"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56CAE3E6"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3DA48F42"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A858BF3"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4D1E9D66" w14:textId="77777777">
                          <w:trPr>
                            <w:trHeight w:val="15"/>
                            <w:tblCellSpacing w:w="0" w:type="dxa"/>
                            <w:jc w:val="center"/>
                          </w:trPr>
                          <w:tc>
                            <w:tcPr>
                              <w:tcW w:w="0" w:type="auto"/>
                              <w:tcBorders>
                                <w:bottom w:val="nil"/>
                              </w:tcBorders>
                              <w:shd w:val="clear" w:color="auto" w:fill="101E3B"/>
                              <w:vAlign w:val="center"/>
                              <w:hideMark/>
                            </w:tcPr>
                            <w:p w14:paraId="4095C7CB"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1212A542" wp14:editId="705A8B21">
                                    <wp:extent cx="44450" cy="6350"/>
                                    <wp:effectExtent l="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A89260D"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2056D135"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6D18A8DF"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14BD4FA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66000AE"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750"/>
                          <w:gridCol w:w="225"/>
                        </w:tblGrid>
                        <w:tr w:rsidR="00577E4E" w:rsidRPr="00577E4E" w14:paraId="6C75C230" w14:textId="77777777">
                          <w:trPr>
                            <w:trHeight w:val="15"/>
                            <w:tblCellSpacing w:w="0" w:type="dxa"/>
                          </w:trPr>
                          <w:tc>
                            <w:tcPr>
                              <w:tcW w:w="0" w:type="auto"/>
                              <w:tcMar>
                                <w:top w:w="0" w:type="dxa"/>
                                <w:left w:w="0" w:type="dxa"/>
                                <w:bottom w:w="150" w:type="dxa"/>
                                <w:right w:w="0" w:type="dxa"/>
                              </w:tcMar>
                              <w:vAlign w:val="center"/>
                              <w:hideMark/>
                            </w:tcPr>
                            <w:p w14:paraId="6613614E" w14:textId="77777777" w:rsidR="00577E4E" w:rsidRPr="00577E4E" w:rsidRDefault="00577E4E" w:rsidP="00577E4E">
                              <w:pPr>
                                <w:spacing w:after="0" w:line="240" w:lineRule="auto"/>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5C985F30" wp14:editId="172B05AC">
                                    <wp:extent cx="2381250" cy="1581150"/>
                                    <wp:effectExtent l="0" t="0" r="0" b="0"/>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tc>
                          <w:tc>
                            <w:tcPr>
                              <w:tcW w:w="225" w:type="dxa"/>
                              <w:hideMark/>
                            </w:tcPr>
                            <w:p w14:paraId="1088D590"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00117116" wp14:editId="382C0F51">
                                    <wp:extent cx="139700" cy="6350"/>
                                    <wp:effectExtent l="0" t="0" r="0" b="0"/>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7CA79336"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inherit" w:eastAsia="Times New Roman" w:hAnsi="inherit" w:cs="Arial"/>
                            <w:b/>
                            <w:bCs/>
                            <w:color w:val="000000"/>
                            <w:kern w:val="0"/>
                            <w:sz w:val="39"/>
                            <w:szCs w:val="39"/>
                            <w:bdr w:val="none" w:sz="0" w:space="0" w:color="auto" w:frame="1"/>
                            <w14:ligatures w14:val="none"/>
                          </w:rPr>
                          <w:t>OPC Seeks Dismissal of Pepco Proposals to Raise Your Rates</w:t>
                        </w:r>
                      </w:p>
                      <w:p w14:paraId="43C76E7C"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54E66C3A"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On June 10, OPC filed a Motion to Dismiss Formal Case No. 1176. In this case, Pepco requests the Public Service Commission to approve a significant rate increase. But OPC's motion asks the Commission to deny the rate hike. The basis for the motion comes from new evidence indicating that Pepco has been earning higher than its authorized revenue and return on equity during the calendar year 2023.</w:t>
                        </w:r>
                      </w:p>
                      <w:p w14:paraId="26D2DD77"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0286E365"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Pepco submitted the rate increase application on April 13, 2023, arguing that the utility would face a revenue shortfall if rates were not increased. Pepco filed two applications for a rate increase. The first was a multiyear rate plan (MYP), which sought to increase rates multiple times over several years. This remains Pepco’s preferred option. The second was a traditional filing with a one-time rate increase, which the Commission required Pepco to file shortly after the utility filed the MYP.</w:t>
                        </w:r>
                      </w:p>
                      <w:p w14:paraId="0BCE3FE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0276733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 xml:space="preserve">Both applications used financial projections to justify a rate increase. The projections indicated Pepco would be facing a revenue deficiency in 2023. However, recent financial reports filed by Pepco indicate that the company </w:t>
                        </w:r>
                        <w:proofErr w:type="gramStart"/>
                        <w:r w:rsidRPr="00577E4E">
                          <w:rPr>
                            <w:rFonts w:ascii="Arial" w:eastAsia="Times New Roman" w:hAnsi="Arial" w:cs="Arial"/>
                            <w:color w:val="000000"/>
                            <w:kern w:val="0"/>
                            <w:sz w:val="29"/>
                            <w:szCs w:val="29"/>
                            <w:bdr w:val="none" w:sz="0" w:space="0" w:color="auto" w:frame="1"/>
                            <w14:ligatures w14:val="none"/>
                          </w:rPr>
                          <w:t>actually over-</w:t>
                        </w:r>
                        <w:proofErr w:type="gramEnd"/>
                        <w:r w:rsidRPr="00577E4E">
                          <w:rPr>
                            <w:rFonts w:ascii="Arial" w:eastAsia="Times New Roman" w:hAnsi="Arial" w:cs="Arial"/>
                            <w:color w:val="000000"/>
                            <w:kern w:val="0"/>
                            <w:sz w:val="29"/>
                            <w:szCs w:val="29"/>
                            <w:bdr w:val="none" w:sz="0" w:space="0" w:color="auto" w:frame="1"/>
                            <w14:ligatures w14:val="none"/>
                          </w:rPr>
                          <w:t>earned, indicating that its projections were inaccurate.</w:t>
                        </w:r>
                      </w:p>
                      <w:p w14:paraId="152DC2FC"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179DFDDE"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lastRenderedPageBreak/>
                          <w:t>Accordingly, OPC moved to dismiss the case arguing there is no need for a rate increase. OPC had filed a similar motion requesting that the Public Service Commission dismiss a portion of Pepco’s application for a rate increase on March 12, 2024. This earlier motion was limited, seeking only to dismiss Pepco’s MYP due to structural issues. Now OPC has moved to dismiss both the MYP, and the traditional rate increase proposal. Joining OPC’s second motion was the Apartment and Office Building Association of Metropolitan Washington.</w:t>
                        </w:r>
                      </w:p>
                      <w:p w14:paraId="2320F9AF"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431777E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 xml:space="preserve">Ultimately, OPC believes the Commission should dismiss both applications as Pepco </w:t>
                        </w:r>
                        <w:proofErr w:type="gramStart"/>
                        <w:r w:rsidRPr="00577E4E">
                          <w:rPr>
                            <w:rFonts w:ascii="Arial" w:eastAsia="Times New Roman" w:hAnsi="Arial" w:cs="Arial"/>
                            <w:color w:val="000000"/>
                            <w:kern w:val="0"/>
                            <w:sz w:val="29"/>
                            <w:szCs w:val="29"/>
                            <w:bdr w:val="none" w:sz="0" w:space="0" w:color="auto" w:frame="1"/>
                            <w14:ligatures w14:val="none"/>
                          </w:rPr>
                          <w:t>has</w:t>
                        </w:r>
                        <w:proofErr w:type="gramEnd"/>
                        <w:r w:rsidRPr="00577E4E">
                          <w:rPr>
                            <w:rFonts w:ascii="Arial" w:eastAsia="Times New Roman" w:hAnsi="Arial" w:cs="Arial"/>
                            <w:color w:val="000000"/>
                            <w:kern w:val="0"/>
                            <w:sz w:val="29"/>
                            <w:szCs w:val="29"/>
                            <w:bdr w:val="none" w:sz="0" w:space="0" w:color="auto" w:frame="1"/>
                            <w14:ligatures w14:val="none"/>
                          </w:rPr>
                          <w:t xml:space="preserve"> demonstrated that a rate increase is not warranted, and the multiyear rate plan presents an alternative form of ratemaking that leaves many questions unanswered.</w:t>
                        </w:r>
                      </w:p>
                    </w:tc>
                  </w:tr>
                </w:tbl>
                <w:p w14:paraId="5C0707A6"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DA4DC02"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1DFD5A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B6EBB2A"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231F59B6" w14:textId="77777777">
                          <w:trPr>
                            <w:trHeight w:val="15"/>
                            <w:tblCellSpacing w:w="0" w:type="dxa"/>
                            <w:jc w:val="center"/>
                          </w:trPr>
                          <w:tc>
                            <w:tcPr>
                              <w:tcW w:w="0" w:type="auto"/>
                              <w:tcBorders>
                                <w:bottom w:val="nil"/>
                              </w:tcBorders>
                              <w:shd w:val="clear" w:color="auto" w:fill="101E3B"/>
                              <w:vAlign w:val="center"/>
                              <w:hideMark/>
                            </w:tcPr>
                            <w:p w14:paraId="7899109D"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0D54645B" wp14:editId="799AB492">
                                    <wp:extent cx="44450" cy="6350"/>
                                    <wp:effectExtent l="0" t="0" r="0" b="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4C16C91"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20EEE7C"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03152465"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96B93A9"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1CB8C6C9"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450"/>
                        </w:tblGrid>
                        <w:tr w:rsidR="00577E4E" w:rsidRPr="00577E4E" w14:paraId="54FD0368" w14:textId="77777777">
                          <w:trPr>
                            <w:trHeight w:val="15"/>
                            <w:tblCellSpacing w:w="0" w:type="dxa"/>
                          </w:trPr>
                          <w:tc>
                            <w:tcPr>
                              <w:tcW w:w="225" w:type="dxa"/>
                              <w:hideMark/>
                            </w:tcPr>
                            <w:p w14:paraId="5D21E24D"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3F0E4A1D" wp14:editId="223E04CB">
                                    <wp:extent cx="139700" cy="6350"/>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77F389DE" w14:textId="77777777" w:rsidR="00577E4E" w:rsidRPr="00577E4E" w:rsidRDefault="00577E4E" w:rsidP="00577E4E">
                              <w:pPr>
                                <w:spacing w:after="0" w:line="240" w:lineRule="auto"/>
                                <w:jc w:val="right"/>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404A9372" wp14:editId="18BFF51D">
                                    <wp:extent cx="2190750" cy="1454150"/>
                                    <wp:effectExtent l="0" t="0" r="0"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1454150"/>
                                            </a:xfrm>
                                            <a:prstGeom prst="rect">
                                              <a:avLst/>
                                            </a:prstGeom>
                                            <a:noFill/>
                                            <a:ln>
                                              <a:noFill/>
                                            </a:ln>
                                          </pic:spPr>
                                        </pic:pic>
                                      </a:graphicData>
                                    </a:graphic>
                                  </wp:inline>
                                </w:drawing>
                              </w:r>
                            </w:p>
                          </w:tc>
                        </w:tr>
                      </w:tbl>
                      <w:p w14:paraId="09788D1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kern w:val="0"/>
                            <w:sz w:val="39"/>
                            <w:szCs w:val="39"/>
                            <w:bdr w:val="none" w:sz="0" w:space="0" w:color="auto" w:frame="1"/>
                            <w14:ligatures w14:val="none"/>
                          </w:rPr>
                          <w:t>The DC Council Connection</w:t>
                        </w:r>
                      </w:p>
                      <w:p w14:paraId="70C8884F"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5822354F"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i/>
                            <w:iCs/>
                            <w:color w:val="000000"/>
                            <w:kern w:val="0"/>
                            <w:sz w:val="32"/>
                            <w:szCs w:val="32"/>
                            <w:bdr w:val="none" w:sz="0" w:space="0" w:color="auto" w:frame="1"/>
                            <w14:ligatures w14:val="none"/>
                          </w:rPr>
                          <w:t>In this edition of the OPC Connection, we begin a new feature that provides updates on DC Council legislation and action related to utilities.</w:t>
                        </w:r>
                      </w:p>
                      <w:p w14:paraId="3364063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Tahoma" w:eastAsia="Times New Roman" w:hAnsi="Tahoma" w:cs="Tahoma"/>
                            <w:b/>
                            <w:bCs/>
                            <w:i/>
                            <w:iCs/>
                            <w:color w:val="000000"/>
                            <w:kern w:val="0"/>
                            <w:sz w:val="32"/>
                            <w:szCs w:val="32"/>
                            <w:bdr w:val="none" w:sz="0" w:space="0" w:color="auto" w:frame="1"/>
                            <w14:ligatures w14:val="none"/>
                          </w:rPr>
                          <w:t>﻿</w:t>
                        </w:r>
                      </w:p>
                      <w:p w14:paraId="1F4F691D"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Tahoma" w:eastAsia="Times New Roman" w:hAnsi="Tahoma" w:cs="Tahoma"/>
                            <w:b/>
                            <w:bCs/>
                            <w:i/>
                            <w:iCs/>
                            <w:color w:val="000000"/>
                            <w:kern w:val="0"/>
                            <w:sz w:val="32"/>
                            <w:szCs w:val="32"/>
                            <w:bdr w:val="none" w:sz="0" w:space="0" w:color="auto" w:frame="1"/>
                            <w14:ligatures w14:val="none"/>
                          </w:rPr>
                          <w:t>﻿</w:t>
                        </w:r>
                        <w:r w:rsidRPr="00577E4E">
                          <w:rPr>
                            <w:rFonts w:ascii="Arial" w:eastAsia="Times New Roman" w:hAnsi="Arial" w:cs="Arial"/>
                            <w:kern w:val="0"/>
                            <w:sz w:val="29"/>
                            <w:szCs w:val="29"/>
                            <w:bdr w:val="none" w:sz="0" w:space="0" w:color="auto" w:frame="1"/>
                            <w14:ligatures w14:val="none"/>
                          </w:rPr>
                          <w:t xml:space="preserve">DC residents facing high energy bills during the summer and winter months might find relief </w:t>
                        </w:r>
                        <w:proofErr w:type="gramStart"/>
                        <w:r w:rsidRPr="00577E4E">
                          <w:rPr>
                            <w:rFonts w:ascii="Arial" w:eastAsia="Times New Roman" w:hAnsi="Arial" w:cs="Arial"/>
                            <w:kern w:val="0"/>
                            <w:sz w:val="29"/>
                            <w:szCs w:val="29"/>
                            <w:bdr w:val="none" w:sz="0" w:space="0" w:color="auto" w:frame="1"/>
                            <w14:ligatures w14:val="none"/>
                          </w:rPr>
                          <w:t>as a result of</w:t>
                        </w:r>
                        <w:proofErr w:type="gramEnd"/>
                        <w:r w:rsidRPr="00577E4E">
                          <w:rPr>
                            <w:rFonts w:ascii="Arial" w:eastAsia="Times New Roman" w:hAnsi="Arial" w:cs="Arial"/>
                            <w:kern w:val="0"/>
                            <w:sz w:val="29"/>
                            <w:szCs w:val="29"/>
                            <w:bdr w:val="none" w:sz="0" w:space="0" w:color="auto" w:frame="1"/>
                            <w14:ligatures w14:val="none"/>
                          </w:rPr>
                          <w:t xml:space="preserve"> a law proposed by Ward 1 Councilmember Brianne Nadeau. The Utility Disconnection Protection Act of 2024 aims to shield vulnerable residents from utility shutoffs during the hottest and coldest months. Currently, disconnections are governed by extreme temperatures rather than time periods.</w:t>
                        </w:r>
                      </w:p>
                      <w:p w14:paraId="44803E0C"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br/>
                        </w:r>
                      </w:p>
                      <w:p w14:paraId="06D93B43"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 xml:space="preserve">The proposed protections would benefit seniors 65 and older, children under 18, individuals with disabilities, and residents </w:t>
                        </w:r>
                        <w:r w:rsidRPr="00577E4E">
                          <w:rPr>
                            <w:rFonts w:ascii="Arial" w:eastAsia="Times New Roman" w:hAnsi="Arial" w:cs="Arial"/>
                            <w:kern w:val="0"/>
                            <w:sz w:val="29"/>
                            <w:szCs w:val="29"/>
                            <w:bdr w:val="none" w:sz="0" w:space="0" w:color="auto" w:frame="1"/>
                            <w14:ligatures w14:val="none"/>
                          </w:rPr>
                          <w:lastRenderedPageBreak/>
                          <w:t>receiving certain public assistance. The act would ban electricity and gas disconnections for these households from May 15 to September 15 and November 1 to February 29.</w:t>
                        </w:r>
                      </w:p>
                      <w:p w14:paraId="56C3383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br/>
                        </w:r>
                      </w:p>
                      <w:p w14:paraId="1A500BF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Utility companies would be required to offer year-long payment plans and charge no additional fees, interest, or penalties. A reconnection fee would be capped at $25.</w:t>
                        </w:r>
                      </w:p>
                      <w:p w14:paraId="0BE6E95B"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br/>
                        </w:r>
                      </w:p>
                      <w:p w14:paraId="3493028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You can track the progress of the proposed legislation </w:t>
                        </w:r>
                        <w:hyperlink r:id="rId19" w:tgtFrame="_blank" w:history="1">
                          <w:r w:rsidRPr="00577E4E">
                            <w:rPr>
                              <w:rFonts w:ascii="Arial" w:eastAsia="Times New Roman" w:hAnsi="Arial" w:cs="Arial"/>
                              <w:b/>
                              <w:bCs/>
                              <w:color w:val="0000FF"/>
                              <w:kern w:val="0"/>
                              <w:sz w:val="29"/>
                              <w:szCs w:val="29"/>
                              <w:u w:val="single"/>
                              <w:bdr w:val="none" w:sz="0" w:space="0" w:color="auto" w:frame="1"/>
                              <w14:ligatures w14:val="none"/>
                            </w:rPr>
                            <w:t>here</w:t>
                          </w:r>
                        </w:hyperlink>
                        <w:r w:rsidRPr="00577E4E">
                          <w:rPr>
                            <w:rFonts w:ascii="Arial" w:eastAsia="Times New Roman" w:hAnsi="Arial" w:cs="Arial"/>
                            <w:color w:val="000000"/>
                            <w:kern w:val="0"/>
                            <w:sz w:val="24"/>
                            <w:szCs w:val="24"/>
                            <w14:ligatures w14:val="none"/>
                          </w:rPr>
                          <w:t>.</w:t>
                        </w:r>
                      </w:p>
                      <w:p w14:paraId="06D3DC6B"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 </w:t>
                        </w:r>
                      </w:p>
                      <w:p w14:paraId="08BBA847"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kern w:val="0"/>
                            <w:sz w:val="29"/>
                            <w:szCs w:val="29"/>
                            <w:bdr w:val="none" w:sz="0" w:space="0" w:color="auto" w:frame="1"/>
                            <w14:ligatures w14:val="none"/>
                          </w:rPr>
                          <w:t>New Program Helps Residents Switch to Electric Appliances</w:t>
                        </w:r>
                      </w:p>
                      <w:p w14:paraId="22335023"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kern w:val="0"/>
                            <w:sz w:val="29"/>
                            <w:szCs w:val="29"/>
                            <w:bdr w:val="none" w:sz="0" w:space="0" w:color="auto" w:frame="1"/>
                            <w14:ligatures w14:val="none"/>
                          </w:rPr>
                          <w:br/>
                        </w:r>
                      </w:p>
                      <w:p w14:paraId="259605DD"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The city will launch a new program called "Breathe Easy" to help eligible residents switch to electric appliances. The Healthy Homes and Residential Electrification Amendment Act, projected to go into effect August 1, 2024, aims to electrify 30,000 homes by 2040.</w:t>
                        </w:r>
                      </w:p>
                      <w:p w14:paraId="076BBD2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br/>
                        </w:r>
                      </w:p>
                      <w:p w14:paraId="4B43B6FD"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The Department of Energy &amp; Environment will fully fund the replacement of gas-powered appliances (ovens, water heaters) with electric ones in qualifying homes. This initiative helps residents who might not have the upfront resources to switch to electric appliances, ultimately contributing to a cleaner environment.</w:t>
                        </w:r>
                      </w:p>
                      <w:p w14:paraId="7FCFE87D"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br/>
                        </w:r>
                      </w:p>
                      <w:p w14:paraId="661708C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The program will have a phased approach, with 2,500 homes completed by the end of 2027, 10,000 by 2032, and 20,000 by 2037. Funded by a surcharge on electric and gas bills through D.C.'s Sustainable Energy Trust Fund, this initiative is a major step toward </w:t>
                        </w:r>
                        <w:r w:rsidRPr="00577E4E">
                          <w:rPr>
                            <w:rFonts w:ascii="Arial" w:eastAsia="Times New Roman" w:hAnsi="Arial" w:cs="Arial"/>
                            <w:color w:val="000000"/>
                            <w:kern w:val="0"/>
                            <w:sz w:val="29"/>
                            <w:szCs w:val="29"/>
                            <w:bdr w:val="none" w:sz="0" w:space="0" w:color="auto" w:frame="1"/>
                            <w14:ligatures w14:val="none"/>
                          </w:rPr>
                          <w:t>reducing greenhouse gas emissions, creating </w:t>
                        </w:r>
                        <w:r w:rsidRPr="00577E4E">
                          <w:rPr>
                            <w:rFonts w:ascii="Arial" w:eastAsia="Times New Roman" w:hAnsi="Arial" w:cs="Arial"/>
                            <w:kern w:val="0"/>
                            <w:sz w:val="29"/>
                            <w:szCs w:val="29"/>
                            <w:bdr w:val="none" w:sz="0" w:space="0" w:color="auto" w:frame="1"/>
                            <w14:ligatures w14:val="none"/>
                          </w:rPr>
                          <w:t>a greener environment and cleaner air, and bringing the city closer to its climate goals. </w:t>
                        </w:r>
                      </w:p>
                    </w:tc>
                  </w:tr>
                </w:tbl>
                <w:p w14:paraId="77AED699"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F0C7968"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5D325E9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9D049BB"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6E712720" w14:textId="77777777">
                          <w:trPr>
                            <w:trHeight w:val="15"/>
                            <w:tblCellSpacing w:w="0" w:type="dxa"/>
                            <w:jc w:val="center"/>
                          </w:trPr>
                          <w:tc>
                            <w:tcPr>
                              <w:tcW w:w="0" w:type="auto"/>
                              <w:tcBorders>
                                <w:bottom w:val="nil"/>
                              </w:tcBorders>
                              <w:shd w:val="clear" w:color="auto" w:fill="101E3B"/>
                              <w:vAlign w:val="center"/>
                              <w:hideMark/>
                            </w:tcPr>
                            <w:p w14:paraId="1C9A81C5"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1E6D774D" wp14:editId="68869452">
                                    <wp:extent cx="44450" cy="6350"/>
                                    <wp:effectExtent l="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5F6D82F"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6A96FC9"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063A856"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5547D9C"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ED369A1"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460"/>
                          <w:gridCol w:w="225"/>
                        </w:tblGrid>
                        <w:tr w:rsidR="00577E4E" w:rsidRPr="00577E4E" w14:paraId="78C863C1" w14:textId="77777777">
                          <w:trPr>
                            <w:trHeight w:val="15"/>
                            <w:tblCellSpacing w:w="0" w:type="dxa"/>
                          </w:trPr>
                          <w:tc>
                            <w:tcPr>
                              <w:tcW w:w="0" w:type="auto"/>
                              <w:tcMar>
                                <w:top w:w="0" w:type="dxa"/>
                                <w:left w:w="0" w:type="dxa"/>
                                <w:bottom w:w="150" w:type="dxa"/>
                                <w:right w:w="0" w:type="dxa"/>
                              </w:tcMar>
                              <w:vAlign w:val="center"/>
                              <w:hideMark/>
                            </w:tcPr>
                            <w:p w14:paraId="3A3DD125" w14:textId="77777777" w:rsidR="00577E4E" w:rsidRPr="00577E4E" w:rsidRDefault="00577E4E" w:rsidP="00577E4E">
                              <w:pPr>
                                <w:spacing w:after="0" w:line="240" w:lineRule="auto"/>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lastRenderedPageBreak/>
                                <w:drawing>
                                  <wp:inline distT="0" distB="0" distL="0" distR="0" wp14:anchorId="0DF4F558" wp14:editId="4466044E">
                                    <wp:extent cx="1555750" cy="1555750"/>
                                    <wp:effectExtent l="0" t="0" r="6350" b="635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tc>
                          <w:tc>
                            <w:tcPr>
                              <w:tcW w:w="225" w:type="dxa"/>
                              <w:hideMark/>
                            </w:tcPr>
                            <w:p w14:paraId="708D537A"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6494F946" wp14:editId="422BDEDA">
                                    <wp:extent cx="139700" cy="6350"/>
                                    <wp:effectExtent l="0" t="0" r="0" b="0"/>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3AA7EDCE"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575ADA1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kern w:val="0"/>
                            <w:sz w:val="39"/>
                            <w:szCs w:val="39"/>
                            <w:bdr w:val="none" w:sz="0" w:space="0" w:color="auto" w:frame="1"/>
                            <w14:ligatures w14:val="none"/>
                          </w:rPr>
                          <w:t>ACT NOW to Apply for Utility Bill Benefits </w:t>
                        </w:r>
                      </w:p>
                      <w:p w14:paraId="536C9D0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 </w:t>
                        </w:r>
                      </w:p>
                      <w:p w14:paraId="08D13A77"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OPC wants you to know that some programs that provide financial assistance to help consumers pay utility bills have time limits and deadlines for applications as money does run out. If you are struggling with energy or water bills or are looking for discounts, see the useful information below. You might be surprised to learn that you are eligible to receive funds.</w:t>
                        </w:r>
                      </w:p>
                      <w:p w14:paraId="5DBC92B0"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2654514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kern w:val="0"/>
                            <w:sz w:val="29"/>
                            <w:szCs w:val="29"/>
                            <w:bdr w:val="none" w:sz="0" w:space="0" w:color="auto" w:frame="1"/>
                            <w14:ligatures w14:val="none"/>
                          </w:rPr>
                          <w:t>Low-Income Home Energy Assistance Program (LIHEAP)</w:t>
                        </w:r>
                        <w:r w:rsidRPr="00577E4E">
                          <w:rPr>
                            <w:rFonts w:ascii="Arial" w:eastAsia="Times New Roman" w:hAnsi="Arial" w:cs="Arial"/>
                            <w:kern w:val="0"/>
                            <w:sz w:val="29"/>
                            <w:szCs w:val="29"/>
                            <w:bdr w:val="none" w:sz="0" w:space="0" w:color="auto" w:frame="1"/>
                            <w14:ligatures w14:val="none"/>
                          </w:rPr>
                          <w:t>  </w:t>
                        </w:r>
                      </w:p>
                      <w:p w14:paraId="0BBE63B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2203237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LIHEAP assists District households with heating and cooling energy costs. Residents should check out the</w:t>
                        </w:r>
                        <w:hyperlink r:id="rId21" w:tgtFrame="_blank" w:history="1">
                          <w:r w:rsidRPr="00577E4E">
                            <w:rPr>
                              <w:rFonts w:ascii="Arial" w:eastAsia="Times New Roman" w:hAnsi="Arial" w:cs="Arial"/>
                              <w:color w:val="0000FF"/>
                              <w:kern w:val="0"/>
                              <w:sz w:val="29"/>
                              <w:szCs w:val="29"/>
                              <w:u w:val="single"/>
                              <w:bdr w:val="none" w:sz="0" w:space="0" w:color="auto" w:frame="1"/>
                              <w14:ligatures w14:val="none"/>
                            </w:rPr>
                            <w:t> </w:t>
                          </w:r>
                        </w:hyperlink>
                        <w:hyperlink r:id="rId22" w:tgtFrame="_blank" w:history="1">
                          <w:r w:rsidRPr="00577E4E">
                            <w:rPr>
                              <w:rFonts w:ascii="Arial" w:eastAsia="Times New Roman" w:hAnsi="Arial" w:cs="Arial"/>
                              <w:b/>
                              <w:bCs/>
                              <w:color w:val="0000FF"/>
                              <w:kern w:val="0"/>
                              <w:sz w:val="29"/>
                              <w:szCs w:val="29"/>
                              <w:u w:val="single"/>
                              <w:bdr w:val="none" w:sz="0" w:space="0" w:color="auto" w:frame="1"/>
                              <w14:ligatures w14:val="none"/>
                            </w:rPr>
                            <w:t>Utility Discount Program</w:t>
                          </w:r>
                        </w:hyperlink>
                        <w:r w:rsidRPr="00577E4E">
                          <w:rPr>
                            <w:rFonts w:ascii="inherit" w:eastAsia="Times New Roman" w:hAnsi="inherit" w:cs="Arial"/>
                            <w:b/>
                            <w:bCs/>
                            <w:color w:val="000000"/>
                            <w:kern w:val="0"/>
                            <w:sz w:val="24"/>
                            <w:szCs w:val="24"/>
                            <w:bdr w:val="none" w:sz="0" w:space="0" w:color="auto" w:frame="1"/>
                            <w14:ligatures w14:val="none"/>
                          </w:rPr>
                          <w:t> </w:t>
                        </w:r>
                        <w:r w:rsidRPr="00577E4E">
                          <w:rPr>
                            <w:rFonts w:ascii="inherit" w:eastAsia="Times New Roman" w:hAnsi="inherit" w:cs="Arial"/>
                            <w:color w:val="000000"/>
                            <w:kern w:val="0"/>
                            <w:sz w:val="29"/>
                            <w:szCs w:val="29"/>
                            <w:bdr w:val="none" w:sz="0" w:space="0" w:color="auto" w:frame="1"/>
                            <w14:ligatures w14:val="none"/>
                          </w:rPr>
                          <w:t>to </w:t>
                        </w:r>
                        <w:r w:rsidRPr="00577E4E">
                          <w:rPr>
                            <w:rFonts w:ascii="Arial" w:eastAsia="Times New Roman" w:hAnsi="Arial" w:cs="Arial"/>
                            <w:kern w:val="0"/>
                            <w:sz w:val="29"/>
                            <w:szCs w:val="29"/>
                            <w:bdr w:val="none" w:sz="0" w:space="0" w:color="auto" w:frame="1"/>
                            <w14:ligatures w14:val="none"/>
                          </w:rPr>
                          <w:t>receive reduced rates.</w:t>
                        </w:r>
                      </w:p>
                      <w:p w14:paraId="6D736AFB"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7FDC239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Residents can begin scheduling appointments with the Department of Energy &amp; Environment to apply for the fiscal year 2025 LIHEAP assistance program kicking off on October 1, 2024, by calling 311. In-person DOEE appointments for FY 24 LIHEAP funds ended in January.</w:t>
                        </w:r>
                      </w:p>
                      <w:p w14:paraId="3B4DE37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361C526E"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Homeowners who have fallen behind on mortgage and utility payments may qualify for the</w:t>
                        </w:r>
                        <w:hyperlink r:id="rId23" w:tgtFrame="_blank" w:history="1">
                          <w:r w:rsidRPr="00577E4E">
                            <w:rPr>
                              <w:rFonts w:ascii="Arial" w:eastAsia="Times New Roman" w:hAnsi="Arial" w:cs="Arial"/>
                              <w:color w:val="0000FF"/>
                              <w:kern w:val="0"/>
                              <w:sz w:val="29"/>
                              <w:szCs w:val="29"/>
                              <w:u w:val="single"/>
                              <w:bdr w:val="none" w:sz="0" w:space="0" w:color="auto" w:frame="1"/>
                              <w14:ligatures w14:val="none"/>
                            </w:rPr>
                            <w:t> </w:t>
                          </w:r>
                        </w:hyperlink>
                        <w:hyperlink r:id="rId24" w:tgtFrame="_blank" w:history="1">
                          <w:r w:rsidRPr="00577E4E">
                            <w:rPr>
                              <w:rFonts w:ascii="Arial" w:eastAsia="Times New Roman" w:hAnsi="Arial" w:cs="Arial"/>
                              <w:b/>
                              <w:bCs/>
                              <w:color w:val="0000FF"/>
                              <w:kern w:val="0"/>
                              <w:sz w:val="29"/>
                              <w:szCs w:val="29"/>
                              <w:u w:val="single"/>
                              <w:bdr w:val="none" w:sz="0" w:space="0" w:color="auto" w:frame="1"/>
                              <w14:ligatures w14:val="none"/>
                            </w:rPr>
                            <w:t>DC Homeowner's Assistance Fund.</w:t>
                          </w:r>
                        </w:hyperlink>
                        <w:r w:rsidRPr="00577E4E">
                          <w:rPr>
                            <w:rFonts w:ascii="Arial" w:eastAsia="Times New Roman" w:hAnsi="Arial" w:cs="Arial"/>
                            <w:kern w:val="0"/>
                            <w:sz w:val="29"/>
                            <w:szCs w:val="29"/>
                            <w:bdr w:val="none" w:sz="0" w:space="0" w:color="auto" w:frame="1"/>
                            <w14:ligatures w14:val="none"/>
                          </w:rPr>
                          <w:t>  </w:t>
                        </w:r>
                      </w:p>
                      <w:p w14:paraId="779305A6"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 </w:t>
                        </w:r>
                      </w:p>
                      <w:p w14:paraId="5E4C9A47"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kern w:val="0"/>
                            <w:sz w:val="29"/>
                            <w:szCs w:val="29"/>
                            <w:bdr w:val="none" w:sz="0" w:space="0" w:color="auto" w:frame="1"/>
                            <w14:ligatures w14:val="none"/>
                          </w:rPr>
                          <w:t>Clean Rivers Impervious Area Charge Residential Relief Program </w:t>
                        </w:r>
                      </w:p>
                      <w:p w14:paraId="3BC7821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6FD58BB5"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The Department of Energy &amp; Environment is still accepting applications for DC Water </w:t>
                        </w:r>
                        <w:r w:rsidRPr="00577E4E">
                          <w:rPr>
                            <w:rFonts w:ascii="Arial" w:eastAsia="Times New Roman" w:hAnsi="Arial" w:cs="Arial"/>
                            <w:b/>
                            <w:bCs/>
                            <w:kern w:val="0"/>
                            <w:sz w:val="29"/>
                            <w:szCs w:val="29"/>
                            <w:bdr w:val="none" w:sz="0" w:space="0" w:color="auto" w:frame="1"/>
                            <w14:ligatures w14:val="none"/>
                          </w:rPr>
                          <w:t>Clean Rivers Impervious Area Charge </w:t>
                        </w:r>
                        <w:r w:rsidRPr="00577E4E">
                          <w:rPr>
                            <w:rFonts w:ascii="Arial" w:eastAsia="Times New Roman" w:hAnsi="Arial" w:cs="Arial"/>
                            <w:kern w:val="0"/>
                            <w:sz w:val="29"/>
                            <w:szCs w:val="29"/>
                            <w:bdr w:val="none" w:sz="0" w:space="0" w:color="auto" w:frame="1"/>
                            <w14:ligatures w14:val="none"/>
                          </w:rPr>
                          <w:t>discounts. Eligible consumers can get a percentage off this monthly water bill fee. To apply, see </w:t>
                        </w:r>
                        <w:hyperlink r:id="rId25" w:tgtFrame="_blank" w:history="1">
                          <w:r w:rsidRPr="00577E4E">
                            <w:rPr>
                              <w:rFonts w:ascii="inherit" w:eastAsia="Times New Roman" w:hAnsi="inherit" w:cs="Arial"/>
                              <w:b/>
                              <w:bCs/>
                              <w:color w:val="0000FF"/>
                              <w:kern w:val="0"/>
                              <w:sz w:val="29"/>
                              <w:szCs w:val="29"/>
                              <w:u w:val="single"/>
                              <w:bdr w:val="none" w:sz="0" w:space="0" w:color="auto" w:frame="1"/>
                              <w14:ligatures w14:val="none"/>
                            </w:rPr>
                            <w:t>CRIAC Relief</w:t>
                          </w:r>
                        </w:hyperlink>
                        <w:r w:rsidRPr="00577E4E">
                          <w:rPr>
                            <w:rFonts w:ascii="inherit" w:eastAsia="Times New Roman" w:hAnsi="inherit" w:cs="Arial"/>
                            <w:color w:val="000000"/>
                            <w:kern w:val="0"/>
                            <w:sz w:val="29"/>
                            <w:szCs w:val="29"/>
                            <w:bdr w:val="none" w:sz="0" w:space="0" w:color="auto" w:frame="1"/>
                            <w14:ligatures w14:val="none"/>
                          </w:rPr>
                          <w:t> </w:t>
                        </w:r>
                        <w:r w:rsidRPr="00577E4E">
                          <w:rPr>
                            <w:rFonts w:ascii="Arial" w:eastAsia="Times New Roman" w:hAnsi="Arial" w:cs="Arial"/>
                            <w:kern w:val="0"/>
                            <w:sz w:val="29"/>
                            <w:szCs w:val="29"/>
                            <w:bdr w:val="none" w:sz="0" w:space="0" w:color="auto" w:frame="1"/>
                            <w14:ligatures w14:val="none"/>
                          </w:rPr>
                          <w:t>on DOEE’s website.  </w:t>
                        </w:r>
                      </w:p>
                      <w:p w14:paraId="6E5D8E2B"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lastRenderedPageBreak/>
                          <w:t> </w:t>
                        </w:r>
                      </w:p>
                      <w:p w14:paraId="16240BB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kern w:val="0"/>
                            <w:sz w:val="29"/>
                            <w:szCs w:val="29"/>
                            <w:bdr w:val="none" w:sz="0" w:space="0" w:color="auto" w:frame="1"/>
                            <w14:ligatures w14:val="none"/>
                          </w:rPr>
                          <w:t>DC Water Payment Plan Incentive Program Limited Time Offer</w:t>
                        </w:r>
                      </w:p>
                      <w:p w14:paraId="7FE274AC"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2DA2DABA"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DC Water will reduce your outstanding balance by giving you a 40% bill credit when you enroll in an eligible payment plan and make timely payments. Credits will be made to your account every 120 days following each qualifying payment. See the links for details of the DC Water Payment Plan Incentive Program in </w:t>
                        </w:r>
                        <w:hyperlink r:id="rId26" w:tgtFrame="_blank" w:history="1">
                          <w:r w:rsidRPr="00577E4E">
                            <w:rPr>
                              <w:rFonts w:ascii="inherit" w:eastAsia="Times New Roman" w:hAnsi="inherit" w:cs="Arial"/>
                              <w:b/>
                              <w:bCs/>
                              <w:color w:val="0000FF"/>
                              <w:kern w:val="0"/>
                              <w:sz w:val="29"/>
                              <w:szCs w:val="29"/>
                              <w:u w:val="single"/>
                              <w:bdr w:val="none" w:sz="0" w:space="0" w:color="auto" w:frame="1"/>
                              <w14:ligatures w14:val="none"/>
                            </w:rPr>
                            <w:t>English</w:t>
                          </w:r>
                        </w:hyperlink>
                        <w:r w:rsidRPr="00577E4E">
                          <w:rPr>
                            <w:rFonts w:ascii="Arial" w:eastAsia="Times New Roman" w:hAnsi="Arial" w:cs="Arial"/>
                            <w:kern w:val="0"/>
                            <w:sz w:val="29"/>
                            <w:szCs w:val="29"/>
                            <w:bdr w:val="none" w:sz="0" w:space="0" w:color="auto" w:frame="1"/>
                            <w14:ligatures w14:val="none"/>
                          </w:rPr>
                          <w:t> and </w:t>
                        </w:r>
                        <w:hyperlink r:id="rId27" w:tgtFrame="_blank" w:history="1">
                          <w:r w:rsidRPr="00577E4E">
                            <w:rPr>
                              <w:rFonts w:ascii="inherit" w:eastAsia="Times New Roman" w:hAnsi="inherit" w:cs="Arial"/>
                              <w:b/>
                              <w:bCs/>
                              <w:color w:val="0000FF"/>
                              <w:kern w:val="0"/>
                              <w:sz w:val="29"/>
                              <w:szCs w:val="29"/>
                              <w:u w:val="single"/>
                              <w:bdr w:val="none" w:sz="0" w:space="0" w:color="auto" w:frame="1"/>
                              <w14:ligatures w14:val="none"/>
                            </w:rPr>
                            <w:t>Spanish</w:t>
                          </w:r>
                        </w:hyperlink>
                        <w:r w:rsidRPr="00577E4E">
                          <w:rPr>
                            <w:rFonts w:ascii="Arial" w:eastAsia="Times New Roman" w:hAnsi="Arial" w:cs="Arial"/>
                            <w:kern w:val="0"/>
                            <w:sz w:val="29"/>
                            <w:szCs w:val="29"/>
                            <w:bdr w:val="none" w:sz="0" w:space="0" w:color="auto" w:frame="1"/>
                            <w14:ligatures w14:val="none"/>
                          </w:rPr>
                          <w:t>. Call DC Water’s Customer Service at (202) 354-3600 to enroll. Also see the </w:t>
                        </w:r>
                        <w:hyperlink r:id="rId28" w:tgtFrame="_blank" w:history="1">
                          <w:r w:rsidRPr="00577E4E">
                            <w:rPr>
                              <w:rFonts w:ascii="inherit" w:eastAsia="Times New Roman" w:hAnsi="inherit" w:cs="Arial"/>
                              <w:b/>
                              <w:bCs/>
                              <w:color w:val="0000FF"/>
                              <w:kern w:val="0"/>
                              <w:sz w:val="29"/>
                              <w:szCs w:val="29"/>
                              <w:u w:val="single"/>
                              <w:bdr w:val="none" w:sz="0" w:space="0" w:color="auto" w:frame="1"/>
                              <w14:ligatures w14:val="none"/>
                            </w:rPr>
                            <w:t>Customer Center</w:t>
                          </w:r>
                        </w:hyperlink>
                        <w:r w:rsidRPr="00577E4E">
                          <w:rPr>
                            <w:rFonts w:ascii="Arial" w:eastAsia="Times New Roman" w:hAnsi="Arial" w:cs="Arial"/>
                            <w:b/>
                            <w:bCs/>
                            <w:kern w:val="0"/>
                            <w:sz w:val="29"/>
                            <w:szCs w:val="29"/>
                            <w:bdr w:val="none" w:sz="0" w:space="0" w:color="auto" w:frame="1"/>
                            <w14:ligatures w14:val="none"/>
                          </w:rPr>
                          <w:t> </w:t>
                        </w:r>
                        <w:r w:rsidRPr="00577E4E">
                          <w:rPr>
                            <w:rFonts w:ascii="Arial" w:eastAsia="Times New Roman" w:hAnsi="Arial" w:cs="Arial"/>
                            <w:kern w:val="0"/>
                            <w:sz w:val="29"/>
                            <w:szCs w:val="29"/>
                            <w:bdr w:val="none" w:sz="0" w:space="0" w:color="auto" w:frame="1"/>
                            <w14:ligatures w14:val="none"/>
                          </w:rPr>
                          <w:t>for a variety of DC Water assistance options.</w:t>
                        </w:r>
                      </w:p>
                      <w:p w14:paraId="5BADEF4E"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3AC2661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kern w:val="0"/>
                            <w:sz w:val="29"/>
                            <w:szCs w:val="29"/>
                            <w:bdr w:val="none" w:sz="0" w:space="0" w:color="auto" w:frame="1"/>
                            <w14:ligatures w14:val="none"/>
                          </w:rPr>
                          <w:t>OPC is scheduling in-person appointments to help residents navigate the different, sometimes complicated application processes. Call OPC at (202) 727-3071 for assistance.  </w:t>
                        </w:r>
                      </w:p>
                    </w:tc>
                  </w:tr>
                </w:tbl>
                <w:p w14:paraId="1F882732"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55639858"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B63990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BB927AC"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4F890405" w14:textId="77777777">
                          <w:trPr>
                            <w:trHeight w:val="15"/>
                            <w:tblCellSpacing w:w="0" w:type="dxa"/>
                            <w:jc w:val="center"/>
                          </w:trPr>
                          <w:tc>
                            <w:tcPr>
                              <w:tcW w:w="0" w:type="auto"/>
                              <w:tcBorders>
                                <w:bottom w:val="nil"/>
                              </w:tcBorders>
                              <w:shd w:val="clear" w:color="auto" w:fill="101E3B"/>
                              <w:vAlign w:val="center"/>
                              <w:hideMark/>
                            </w:tcPr>
                            <w:p w14:paraId="68D85D87"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281124AB" wp14:editId="34B874EF">
                                    <wp:extent cx="44450" cy="6350"/>
                                    <wp:effectExtent l="0" t="0" r="0"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66C16F2"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59339839"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26F25E9D"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052F8BB"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5BEB0653"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690"/>
                        </w:tblGrid>
                        <w:tr w:rsidR="00577E4E" w:rsidRPr="00577E4E" w14:paraId="609BE6A6" w14:textId="77777777">
                          <w:trPr>
                            <w:trHeight w:val="15"/>
                            <w:tblCellSpacing w:w="0" w:type="dxa"/>
                          </w:trPr>
                          <w:tc>
                            <w:tcPr>
                              <w:tcW w:w="225" w:type="dxa"/>
                              <w:hideMark/>
                            </w:tcPr>
                            <w:p w14:paraId="3B2461EF"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236AD33C" wp14:editId="5436798A">
                                    <wp:extent cx="139700" cy="6350"/>
                                    <wp:effectExtent l="0" t="0" r="0" b="0"/>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7DCDF0CD" w14:textId="77777777" w:rsidR="00577E4E" w:rsidRPr="00577E4E" w:rsidRDefault="00577E4E" w:rsidP="00577E4E">
                              <w:pPr>
                                <w:spacing w:after="0" w:line="240" w:lineRule="auto"/>
                                <w:jc w:val="right"/>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48E18DAE" wp14:editId="4D9E13AF">
                                    <wp:extent cx="2336800" cy="1555750"/>
                                    <wp:effectExtent l="0" t="0" r="6350" b="635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6800" cy="1555750"/>
                                            </a:xfrm>
                                            <a:prstGeom prst="rect">
                                              <a:avLst/>
                                            </a:prstGeom>
                                            <a:noFill/>
                                            <a:ln>
                                              <a:noFill/>
                                            </a:ln>
                                          </pic:spPr>
                                        </pic:pic>
                                      </a:graphicData>
                                    </a:graphic>
                                  </wp:inline>
                                </w:drawing>
                              </w:r>
                            </w:p>
                          </w:tc>
                        </w:tr>
                      </w:tbl>
                      <w:p w14:paraId="57EC6A03"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39"/>
                            <w:szCs w:val="39"/>
                            <w:bdr w:val="none" w:sz="0" w:space="0" w:color="auto" w:frame="1"/>
                            <w14:ligatures w14:val="none"/>
                          </w:rPr>
                          <w:t>The Sustainable Switch: Electric Lawn Care</w:t>
                        </w:r>
                      </w:p>
                      <w:p w14:paraId="23ABCAA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Tahoma" w:eastAsia="Times New Roman" w:hAnsi="Tahoma" w:cs="Tahoma"/>
                            <w:b/>
                            <w:bCs/>
                            <w:color w:val="000000"/>
                            <w:kern w:val="0"/>
                            <w:sz w:val="38"/>
                            <w:szCs w:val="38"/>
                            <w:bdr w:val="none" w:sz="0" w:space="0" w:color="auto" w:frame="1"/>
                            <w14:ligatures w14:val="none"/>
                          </w:rPr>
                          <w:t>﻿</w:t>
                        </w:r>
                      </w:p>
                      <w:p w14:paraId="108A7982"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i/>
                            <w:iCs/>
                            <w:color w:val="000000"/>
                            <w:kern w:val="0"/>
                            <w:sz w:val="33"/>
                            <w:szCs w:val="33"/>
                            <w:bdr w:val="none" w:sz="0" w:space="0" w:color="auto" w:frame="1"/>
                            <w14:ligatures w14:val="none"/>
                          </w:rPr>
                          <w:t>By Guest Contributor Kalen Roach, DC Sustainable Energy Utility Marketing &amp; Communications Manager</w:t>
                        </w:r>
                      </w:p>
                      <w:p w14:paraId="2B6427FA"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3C5E5AB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As homeowners seek eco-friendly alternatives to gas lawn equipment, electric lawn equipment has become increasingly popular. Here are some key benefits of switching from gas to electric lawn care, and how it can positively affect both the environment and your daily life.</w:t>
                        </w:r>
                      </w:p>
                      <w:p w14:paraId="0ACA0CF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046069AD"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29"/>
                            <w:szCs w:val="29"/>
                            <w:bdr w:val="none" w:sz="0" w:space="0" w:color="auto" w:frame="1"/>
                            <w14:ligatures w14:val="none"/>
                          </w:rPr>
                          <w:t>Environmental Friendliness:</w:t>
                        </w:r>
                        <w:r w:rsidRPr="00577E4E">
                          <w:rPr>
                            <w:rFonts w:ascii="Arial" w:eastAsia="Times New Roman" w:hAnsi="Arial" w:cs="Arial"/>
                            <w:color w:val="000000"/>
                            <w:kern w:val="0"/>
                            <w:sz w:val="29"/>
                            <w:szCs w:val="29"/>
                            <w:bdr w:val="none" w:sz="0" w:space="0" w:color="auto" w:frame="1"/>
                            <w14:ligatures w14:val="none"/>
                          </w:rPr>
                          <w:t xml:space="preserve"> Electric lawn mowers have minimal, negative environmental impact. Unlike gas-powered mowers, they produce zero emissions and less noise, </w:t>
                        </w:r>
                        <w:r w:rsidRPr="00577E4E">
                          <w:rPr>
                            <w:rFonts w:ascii="Arial" w:eastAsia="Times New Roman" w:hAnsi="Arial" w:cs="Arial"/>
                            <w:color w:val="000000"/>
                            <w:kern w:val="0"/>
                            <w:sz w:val="29"/>
                            <w:szCs w:val="29"/>
                            <w:bdr w:val="none" w:sz="0" w:space="0" w:color="auto" w:frame="1"/>
                            <w14:ligatures w14:val="none"/>
                          </w:rPr>
                          <w:lastRenderedPageBreak/>
                          <w:t>contributing to cleaner air and a quieter environment while reducing carbon footprints.</w:t>
                        </w:r>
                      </w:p>
                      <w:p w14:paraId="01C2D4B0"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2A661850"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29"/>
                            <w:szCs w:val="29"/>
                            <w:bdr w:val="none" w:sz="0" w:space="0" w:color="auto" w:frame="1"/>
                            <w14:ligatures w14:val="none"/>
                          </w:rPr>
                          <w:t>Cost Savings:</w:t>
                        </w:r>
                        <w:r w:rsidRPr="00577E4E">
                          <w:rPr>
                            <w:rFonts w:ascii="Arial" w:eastAsia="Times New Roman" w:hAnsi="Arial" w:cs="Arial"/>
                            <w:color w:val="000000"/>
                            <w:kern w:val="0"/>
                            <w:sz w:val="29"/>
                            <w:szCs w:val="29"/>
                            <w:bdr w:val="none" w:sz="0" w:space="0" w:color="auto" w:frame="1"/>
                            <w14:ligatures w14:val="none"/>
                          </w:rPr>
                          <w:t> Although electric mowers may have a higher upfront cost, they save money in the long run. They don’t require gasoline, oil changes, or spark plug replacements, leading to significantly lower maintenance costs. Moreover, electricity is generally cheaper than gasoline, making each mowing session more cost-effective. Over time, savings on fuel and maintenance can offset the initial investment.</w:t>
                        </w:r>
                      </w:p>
                      <w:p w14:paraId="29BF8DA2"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34A93ECB"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29"/>
                            <w:szCs w:val="29"/>
                            <w:bdr w:val="none" w:sz="0" w:space="0" w:color="auto" w:frame="1"/>
                            <w14:ligatures w14:val="none"/>
                          </w:rPr>
                          <w:t>Convenience:</w:t>
                        </w:r>
                        <w:r w:rsidRPr="00577E4E">
                          <w:rPr>
                            <w:rFonts w:ascii="Arial" w:eastAsia="Times New Roman" w:hAnsi="Arial" w:cs="Arial"/>
                            <w:color w:val="000000"/>
                            <w:kern w:val="0"/>
                            <w:sz w:val="29"/>
                            <w:szCs w:val="29"/>
                            <w:bdr w:val="none" w:sz="0" w:space="0" w:color="auto" w:frame="1"/>
                            <w14:ligatures w14:val="none"/>
                          </w:rPr>
                          <w:t> Electric mowers are lightweight, compact, and easy to maneuver, making them more suitable for homeowners of all ages and abilities. No more gas engine complexities--with the push of a button, you can effortlessly start and operate an electric mower, saving time and effort.</w:t>
                        </w:r>
                      </w:p>
                      <w:p w14:paraId="5BDABB66"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7154271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29"/>
                            <w:szCs w:val="29"/>
                            <w:bdr w:val="none" w:sz="0" w:space="0" w:color="auto" w:frame="1"/>
                            <w14:ligatures w14:val="none"/>
                          </w:rPr>
                          <w:t>Improved Safety:</w:t>
                        </w:r>
                        <w:r w:rsidRPr="00577E4E">
                          <w:rPr>
                            <w:rFonts w:ascii="Arial" w:eastAsia="Times New Roman" w:hAnsi="Arial" w:cs="Arial"/>
                            <w:color w:val="000000"/>
                            <w:kern w:val="0"/>
                            <w:sz w:val="29"/>
                            <w:szCs w:val="29"/>
                            <w:bdr w:val="none" w:sz="0" w:space="0" w:color="auto" w:frame="1"/>
                            <w14:ligatures w14:val="none"/>
                          </w:rPr>
                          <w:t> Electric mowers are generally safer than gas mowers. They eliminate the risk of fuel spills, which can be hazardous to both humans and the environment. Many electric mowers also feature an instant shut-off option, allowing you to quickly stop the blades in an emergency.</w:t>
                        </w:r>
                      </w:p>
                      <w:p w14:paraId="446CCB4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Tahoma" w:eastAsia="Times New Roman" w:hAnsi="Tahoma" w:cs="Tahoma"/>
                            <w:color w:val="000000"/>
                            <w:kern w:val="0"/>
                            <w:sz w:val="29"/>
                            <w:szCs w:val="29"/>
                            <w:bdr w:val="none" w:sz="0" w:space="0" w:color="auto" w:frame="1"/>
                            <w14:ligatures w14:val="none"/>
                          </w:rPr>
                          <w:t>﻿</w:t>
                        </w:r>
                      </w:p>
                      <w:p w14:paraId="1CBEB9CF"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Make the switch today with a </w:t>
                        </w:r>
                        <w:hyperlink r:id="rId30" w:tgtFrame="_blank" w:history="1">
                          <w:r w:rsidRPr="00577E4E">
                            <w:rPr>
                              <w:rFonts w:ascii="Arial" w:eastAsia="Times New Roman" w:hAnsi="Arial" w:cs="Arial"/>
                              <w:b/>
                              <w:bCs/>
                              <w:color w:val="0000FF"/>
                              <w:kern w:val="0"/>
                              <w:sz w:val="29"/>
                              <w:szCs w:val="29"/>
                              <w:u w:val="single"/>
                              <w:bdr w:val="none" w:sz="0" w:space="0" w:color="auto" w:frame="1"/>
                              <w14:ligatures w14:val="none"/>
                            </w:rPr>
                            <w:t>DCSEU rebate</w:t>
                          </w:r>
                        </w:hyperlink>
                        <w:r w:rsidRPr="00577E4E">
                          <w:rPr>
                            <w:rFonts w:ascii="Arial" w:eastAsia="Times New Roman" w:hAnsi="Arial" w:cs="Arial"/>
                            <w:color w:val="000000"/>
                            <w:kern w:val="0"/>
                            <w:sz w:val="29"/>
                            <w:szCs w:val="29"/>
                            <w:bdr w:val="none" w:sz="0" w:space="0" w:color="auto" w:frame="1"/>
                            <w14:ligatures w14:val="none"/>
                          </w:rPr>
                          <w:t> of up to $75 off an electric push mower and $500 off an electric riding mower.</w:t>
                        </w:r>
                      </w:p>
                    </w:tc>
                  </w:tr>
                </w:tbl>
                <w:p w14:paraId="625E8CF8"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6A1D1AB0"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50FBDEC"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6362B2B"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00670663" w14:textId="77777777">
                          <w:trPr>
                            <w:trHeight w:val="15"/>
                            <w:tblCellSpacing w:w="0" w:type="dxa"/>
                            <w:jc w:val="center"/>
                          </w:trPr>
                          <w:tc>
                            <w:tcPr>
                              <w:tcW w:w="0" w:type="auto"/>
                              <w:tcBorders>
                                <w:bottom w:val="nil"/>
                              </w:tcBorders>
                              <w:shd w:val="clear" w:color="auto" w:fill="101E3B"/>
                              <w:vAlign w:val="center"/>
                              <w:hideMark/>
                            </w:tcPr>
                            <w:p w14:paraId="7995BC55"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3240BEFF" wp14:editId="78EC11AD">
                                    <wp:extent cx="44450" cy="6350"/>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B6CC109"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472301FA"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67F5C200"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3D4AE2A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CF66E22"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750"/>
                          <w:gridCol w:w="225"/>
                        </w:tblGrid>
                        <w:tr w:rsidR="00577E4E" w:rsidRPr="00577E4E" w14:paraId="30F6A3BE" w14:textId="77777777">
                          <w:trPr>
                            <w:trHeight w:val="15"/>
                            <w:tblCellSpacing w:w="0" w:type="dxa"/>
                          </w:trPr>
                          <w:tc>
                            <w:tcPr>
                              <w:tcW w:w="0" w:type="auto"/>
                              <w:tcMar>
                                <w:top w:w="0" w:type="dxa"/>
                                <w:left w:w="0" w:type="dxa"/>
                                <w:bottom w:w="150" w:type="dxa"/>
                                <w:right w:w="0" w:type="dxa"/>
                              </w:tcMar>
                              <w:vAlign w:val="center"/>
                              <w:hideMark/>
                            </w:tcPr>
                            <w:p w14:paraId="5A206DD6" w14:textId="77777777" w:rsidR="00577E4E" w:rsidRPr="00577E4E" w:rsidRDefault="00577E4E" w:rsidP="00577E4E">
                              <w:pPr>
                                <w:spacing w:after="0" w:line="240" w:lineRule="auto"/>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lastRenderedPageBreak/>
                                <w:drawing>
                                  <wp:inline distT="0" distB="0" distL="0" distR="0" wp14:anchorId="136F2046" wp14:editId="3D3FA4B2">
                                    <wp:extent cx="2374900" cy="3162300"/>
                                    <wp:effectExtent l="0" t="0" r="635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4900" cy="3162300"/>
                                            </a:xfrm>
                                            <a:prstGeom prst="rect">
                                              <a:avLst/>
                                            </a:prstGeom>
                                            <a:noFill/>
                                            <a:ln>
                                              <a:noFill/>
                                            </a:ln>
                                          </pic:spPr>
                                        </pic:pic>
                                      </a:graphicData>
                                    </a:graphic>
                                  </wp:inline>
                                </w:drawing>
                              </w:r>
                            </w:p>
                          </w:tc>
                          <w:tc>
                            <w:tcPr>
                              <w:tcW w:w="225" w:type="dxa"/>
                              <w:hideMark/>
                            </w:tcPr>
                            <w:p w14:paraId="2922A3E7"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0FD8AEC0" wp14:editId="06B4BA78">
                                    <wp:extent cx="139700" cy="6350"/>
                                    <wp:effectExtent l="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00F48D2A"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111111"/>
                            <w:kern w:val="0"/>
                            <w:sz w:val="39"/>
                            <w:szCs w:val="39"/>
                            <w:bdr w:val="none" w:sz="0" w:space="0" w:color="auto" w:frame="1"/>
                            <w14:ligatures w14:val="none"/>
                          </w:rPr>
                          <w:t>Employee of the Month:</w:t>
                        </w:r>
                      </w:p>
                      <w:p w14:paraId="40D82F4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111111"/>
                            <w:kern w:val="0"/>
                            <w:sz w:val="39"/>
                            <w:szCs w:val="39"/>
                            <w:bdr w:val="none" w:sz="0" w:space="0" w:color="auto" w:frame="1"/>
                            <w14:ligatures w14:val="none"/>
                          </w:rPr>
                          <w:t>Doxie A. McCoy</w:t>
                        </w:r>
                      </w:p>
                      <w:p w14:paraId="409A2796"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74ED694D"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In recognition of her dedication to carrying out OPC's mission and exemplary work ethic, Public Information Officer Doxie A. McCoy has been honored as the latest OPC Employee of the Month. This accolade reflects not only her individual positive contributions to the work product but also her positive impact on the entire team.</w:t>
                        </w:r>
                      </w:p>
                      <w:p w14:paraId="52ED9792"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7FDCABC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4FB604A5"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Doxie is currently spending many hours managing the production of the upcoming OPC history book, which is nearing completion. She also efficiently manages the monthly OPC Connection Newsletter, ensuring that it has not missed a single edition since its inception in 2016, the year she started at OPC. The long-time DC government employee also is praised for her round-the-clock availability.</w:t>
                        </w:r>
                      </w:p>
                      <w:p w14:paraId="14DD1FC3"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02182BF3"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Doxie has worked to significantly increase visits to OPC’s website, email subscribers, and social media followers. Colleagues describe Doxie as nice and caring and have named her OPC's "fashionista."</w:t>
                        </w:r>
                      </w:p>
                      <w:p w14:paraId="745AADEA"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55CEE365"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Congratulations to Ms. Doxie A. McCoy on this well-deserved recognition as Employee of the Month!</w:t>
                        </w:r>
                      </w:p>
                    </w:tc>
                  </w:tr>
                </w:tbl>
                <w:p w14:paraId="14EC0364"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CE6EE65"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2D70CF0"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1678ECCE"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42A29921" w14:textId="77777777">
                          <w:trPr>
                            <w:trHeight w:val="15"/>
                            <w:tblCellSpacing w:w="0" w:type="dxa"/>
                            <w:jc w:val="center"/>
                          </w:trPr>
                          <w:tc>
                            <w:tcPr>
                              <w:tcW w:w="0" w:type="auto"/>
                              <w:tcBorders>
                                <w:bottom w:val="nil"/>
                              </w:tcBorders>
                              <w:shd w:val="clear" w:color="auto" w:fill="101E3B"/>
                              <w:vAlign w:val="center"/>
                              <w:hideMark/>
                            </w:tcPr>
                            <w:p w14:paraId="425499F1"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5E624257" wp14:editId="7A97FF02">
                                    <wp:extent cx="44450" cy="6350"/>
                                    <wp:effectExtent l="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2D95403"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8215C19"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F183592"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B736D1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760C95F"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860"/>
                        </w:tblGrid>
                        <w:tr w:rsidR="00577E4E" w:rsidRPr="00577E4E" w14:paraId="4BDAB5BE" w14:textId="77777777">
                          <w:trPr>
                            <w:trHeight w:val="15"/>
                            <w:tblCellSpacing w:w="0" w:type="dxa"/>
                          </w:trPr>
                          <w:tc>
                            <w:tcPr>
                              <w:tcW w:w="225" w:type="dxa"/>
                              <w:hideMark/>
                            </w:tcPr>
                            <w:p w14:paraId="1ECBE88D"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lastRenderedPageBreak/>
                                <w:drawing>
                                  <wp:inline distT="0" distB="0" distL="0" distR="0" wp14:anchorId="341EF626" wp14:editId="22D5E48D">
                                    <wp:extent cx="139700" cy="6350"/>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0FA519C8" w14:textId="77777777" w:rsidR="00577E4E" w:rsidRPr="00577E4E" w:rsidRDefault="00577E4E" w:rsidP="00577E4E">
                              <w:pPr>
                                <w:spacing w:after="0" w:line="240" w:lineRule="auto"/>
                                <w:jc w:val="right"/>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02ADB969" wp14:editId="58292364">
                                    <wp:extent cx="1816100" cy="1212850"/>
                                    <wp:effectExtent l="0" t="0" r="0" b="635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6100" cy="1212850"/>
                                            </a:xfrm>
                                            <a:prstGeom prst="rect">
                                              <a:avLst/>
                                            </a:prstGeom>
                                            <a:noFill/>
                                            <a:ln>
                                              <a:noFill/>
                                            </a:ln>
                                          </pic:spPr>
                                        </pic:pic>
                                      </a:graphicData>
                                    </a:graphic>
                                  </wp:inline>
                                </w:drawing>
                              </w:r>
                            </w:p>
                          </w:tc>
                        </w:tr>
                      </w:tbl>
                      <w:p w14:paraId="207B1AAF"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inherit" w:eastAsia="Times New Roman" w:hAnsi="inherit" w:cs="Arial"/>
                            <w:b/>
                            <w:bCs/>
                            <w:color w:val="000000"/>
                            <w:kern w:val="0"/>
                            <w:sz w:val="39"/>
                            <w:szCs w:val="39"/>
                            <w:bdr w:val="none" w:sz="0" w:space="0" w:color="auto" w:frame="1"/>
                            <w14:ligatures w14:val="none"/>
                          </w:rPr>
                          <w:t>OPC is Working with the Working Groups</w:t>
                        </w:r>
                      </w:p>
                      <w:p w14:paraId="2DBB6B3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0A0BF273"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Tahoma" w:eastAsia="Times New Roman" w:hAnsi="Tahoma" w:cs="Tahoma"/>
                            <w:color w:val="000000"/>
                            <w:kern w:val="0"/>
                            <w:sz w:val="29"/>
                            <w:szCs w:val="29"/>
                            <w:bdr w:val="none" w:sz="0" w:space="0" w:color="auto" w:frame="1"/>
                            <w14:ligatures w14:val="none"/>
                          </w:rPr>
                          <w:t>﻿</w:t>
                        </w:r>
                        <w:r w:rsidRPr="00577E4E">
                          <w:rPr>
                            <w:rFonts w:ascii="Arial" w:eastAsia="Times New Roman" w:hAnsi="Arial" w:cs="Arial"/>
                            <w:color w:val="000000"/>
                            <w:kern w:val="0"/>
                            <w:sz w:val="29"/>
                            <w:szCs w:val="29"/>
                            <w:bdr w:val="none" w:sz="0" w:space="0" w:color="auto" w:frame="1"/>
                            <w14:ligatures w14:val="none"/>
                          </w:rPr>
                          <w:t>This month, in our series Working Groups at the Public Service Commission, we discuss the RM9/40 Working Group. RM stands for Rule Making, “RM9” and “RM” refer to sections of the DC Code that pertain to rules on the interconnection of consumer-based or non-utility generation of power and how it is integrated into the electric distribution system operated by Pepco. This working group looks at the costs involved with what's described as “Level 2 Systems,” and how these costs impact all consumers. This working group reports back regularly to the PSC.</w:t>
                        </w:r>
                      </w:p>
                    </w:tc>
                  </w:tr>
                </w:tbl>
                <w:p w14:paraId="2719FFB4"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062CD6E3"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5FC911B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3871E68B"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080F6A05" w14:textId="77777777">
                          <w:trPr>
                            <w:trHeight w:val="15"/>
                            <w:tblCellSpacing w:w="0" w:type="dxa"/>
                            <w:jc w:val="center"/>
                          </w:trPr>
                          <w:tc>
                            <w:tcPr>
                              <w:tcW w:w="0" w:type="auto"/>
                              <w:tcBorders>
                                <w:bottom w:val="nil"/>
                              </w:tcBorders>
                              <w:shd w:val="clear" w:color="auto" w:fill="101E3B"/>
                              <w:vAlign w:val="center"/>
                              <w:hideMark/>
                            </w:tcPr>
                            <w:p w14:paraId="013C798B"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119D660A" wp14:editId="5E605351">
                                    <wp:extent cx="44450" cy="6350"/>
                                    <wp:effectExtent l="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262EED9"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04A62D47" w14:textId="77777777" w:rsidR="00577E4E" w:rsidRPr="00577E4E" w:rsidRDefault="00577E4E" w:rsidP="00577E4E">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53C64660" w14:textId="77777777">
                    <w:trPr>
                      <w:tblCellSpacing w:w="0" w:type="dxa"/>
                      <w:jc w:val="center"/>
                    </w:trPr>
                    <w:tc>
                      <w:tcPr>
                        <w:tcW w:w="0" w:type="auto"/>
                        <w:tcMar>
                          <w:top w:w="150" w:type="dxa"/>
                          <w:left w:w="300" w:type="dxa"/>
                          <w:bottom w:w="150" w:type="dxa"/>
                          <w:right w:w="300" w:type="dxa"/>
                        </w:tcMar>
                        <w:hideMark/>
                      </w:tcPr>
                      <w:p w14:paraId="7623BAE8"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3069216B" wp14:editId="4C33DB4A">
                              <wp:extent cx="4400550" cy="152400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0550" cy="1524000"/>
                                      </a:xfrm>
                                      <a:prstGeom prst="rect">
                                        <a:avLst/>
                                      </a:prstGeom>
                                      <a:noFill/>
                                      <a:ln>
                                        <a:noFill/>
                                      </a:ln>
                                    </pic:spPr>
                                  </pic:pic>
                                </a:graphicData>
                              </a:graphic>
                            </wp:inline>
                          </w:drawing>
                        </w:r>
                      </w:p>
                    </w:tc>
                  </w:tr>
                </w:tbl>
                <w:p w14:paraId="7886A085"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FBA7094"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946CAC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B54E898" w14:textId="77777777">
                    <w:trPr>
                      <w:tblCellSpacing w:w="0" w:type="dxa"/>
                      <w:jc w:val="center"/>
                    </w:trPr>
                    <w:tc>
                      <w:tcPr>
                        <w:tcW w:w="0" w:type="auto"/>
                        <w:tcMar>
                          <w:top w:w="150" w:type="dxa"/>
                          <w:left w:w="300" w:type="dxa"/>
                          <w:bottom w:w="150" w:type="dxa"/>
                          <w:right w:w="300" w:type="dxa"/>
                        </w:tcMar>
                        <w:hideMark/>
                      </w:tcPr>
                      <w:p w14:paraId="6E7DAD56"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39"/>
                            <w:szCs w:val="39"/>
                            <w:bdr w:val="none" w:sz="0" w:space="0" w:color="auto" w:frame="1"/>
                            <w14:ligatures w14:val="none"/>
                          </w:rPr>
                          <w:t>OPC is Advocating for Consumers in the</w:t>
                        </w:r>
                      </w:p>
                      <w:p w14:paraId="666FB8B2"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39"/>
                            <w:szCs w:val="39"/>
                            <w:bdr w:val="none" w:sz="0" w:space="0" w:color="auto" w:frame="1"/>
                            <w14:ligatures w14:val="none"/>
                          </w:rPr>
                          <w:t>Following Cases:</w:t>
                        </w:r>
                      </w:p>
                      <w:p w14:paraId="670D79A0"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p>
                      <w:p w14:paraId="0AFFDDB9"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29"/>
                            <w:szCs w:val="29"/>
                            <w:bdr w:val="none" w:sz="0" w:space="0" w:color="auto" w:frame="1"/>
                            <w14:ligatures w14:val="none"/>
                          </w:rPr>
                          <w:t>Formal Case No. 1130: The Investigation into Modernizing the Energy Delivery System for Increased Sustainability</w:t>
                        </w:r>
                      </w:p>
                      <w:p w14:paraId="14E9B995"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Tahoma" w:eastAsia="Times New Roman" w:hAnsi="Tahoma" w:cs="Tahoma"/>
                            <w:b/>
                            <w:bCs/>
                            <w:color w:val="000000"/>
                            <w:kern w:val="0"/>
                            <w:sz w:val="29"/>
                            <w:szCs w:val="29"/>
                            <w:bdr w:val="none" w:sz="0" w:space="0" w:color="auto" w:frame="1"/>
                            <w14:ligatures w14:val="none"/>
                          </w:rPr>
                          <w:t>﻿</w:t>
                        </w:r>
                      </w:p>
                      <w:p w14:paraId="65814585"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On June 14, OPC filed comments in this matter addressing a study commissioned by the Public Service Commission on the Value of Distributed Energy Resources for the District.</w:t>
                        </w:r>
                      </w:p>
                    </w:tc>
                  </w:tr>
                </w:tbl>
                <w:p w14:paraId="736BCA8F"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BDD4339"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38B5663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5CB706DE"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3C229FCE" w14:textId="77777777">
                          <w:trPr>
                            <w:trHeight w:val="15"/>
                            <w:tblCellSpacing w:w="0" w:type="dxa"/>
                            <w:jc w:val="center"/>
                          </w:trPr>
                          <w:tc>
                            <w:tcPr>
                              <w:tcW w:w="0" w:type="auto"/>
                              <w:tcBorders>
                                <w:bottom w:val="nil"/>
                              </w:tcBorders>
                              <w:shd w:val="clear" w:color="auto" w:fill="101E3B"/>
                              <w:vAlign w:val="center"/>
                              <w:hideMark/>
                            </w:tcPr>
                            <w:p w14:paraId="7268DE3C"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7C70826A" wp14:editId="0348293A">
                                    <wp:extent cx="44450" cy="6350"/>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7596CFE"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48F4E22"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221FFD9D"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90A8DDF" w14:textId="77777777">
              <w:trPr>
                <w:tblCellSpacing w:w="0" w:type="dxa"/>
                <w:jc w:val="center"/>
              </w:trPr>
              <w:tc>
                <w:tcPr>
                  <w:tcW w:w="9000" w:type="dxa"/>
                  <w:hideMark/>
                </w:tcPr>
                <w:p w14:paraId="40514681" w14:textId="77777777" w:rsidR="00577E4E" w:rsidRPr="00577E4E" w:rsidRDefault="00577E4E" w:rsidP="00577E4E">
                  <w:pPr>
                    <w:spacing w:after="0" w:line="150" w:lineRule="atLeast"/>
                    <w:jc w:val="center"/>
                    <w:textAlignment w:val="baseline"/>
                    <w:rPr>
                      <w:rFonts w:ascii="inherit" w:eastAsia="Times New Roman" w:hAnsi="inherit" w:cs="Times New Roman"/>
                      <w:kern w:val="0"/>
                      <w:sz w:val="24"/>
                      <w:szCs w:val="24"/>
                      <w14:ligatures w14:val="none"/>
                    </w:rPr>
                  </w:pPr>
                  <w:r w:rsidRPr="00577E4E">
                    <w:rPr>
                      <w:rFonts w:ascii="inherit" w:eastAsia="Times New Roman" w:hAnsi="inherit" w:cs="Times New Roman"/>
                      <w:kern w:val="0"/>
                      <w:sz w:val="24"/>
                      <w:szCs w:val="24"/>
                      <w14:ligatures w14:val="none"/>
                    </w:rPr>
                    <w:t> </w:t>
                  </w:r>
                </w:p>
              </w:tc>
            </w:tr>
          </w:tbl>
          <w:p w14:paraId="74F150AB"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18D95FB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3CA691B1" w14:textId="77777777">
                    <w:trPr>
                      <w:tblCellSpacing w:w="0" w:type="dxa"/>
                      <w:jc w:val="center"/>
                    </w:trPr>
                    <w:tc>
                      <w:tcPr>
                        <w:tcW w:w="0" w:type="auto"/>
                        <w:tcMar>
                          <w:top w:w="150" w:type="dxa"/>
                          <w:left w:w="300" w:type="dxa"/>
                          <w:bottom w:w="150" w:type="dxa"/>
                          <w:right w:w="300" w:type="dxa"/>
                        </w:tcMar>
                        <w:hideMark/>
                      </w:tcPr>
                      <w:p w14:paraId="68B093D9"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b/>
                            <w:bCs/>
                            <w:color w:val="000000"/>
                            <w:kern w:val="0"/>
                            <w:sz w:val="39"/>
                            <w:szCs w:val="39"/>
                            <w:bdr w:val="none" w:sz="0" w:space="0" w:color="auto" w:frame="1"/>
                            <w14:ligatures w14:val="none"/>
                          </w:rPr>
                          <w:lastRenderedPageBreak/>
                          <w:t>OPC In Your Neighborhood!</w:t>
                        </w:r>
                      </w:p>
                      <w:p w14:paraId="5924E30B" w14:textId="77777777" w:rsidR="00577E4E" w:rsidRPr="00577E4E" w:rsidRDefault="00577E4E" w:rsidP="00577E4E">
                        <w:pPr>
                          <w:spacing w:after="10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OPC welcomes opportunities to speak at your Advisory Neighborhood Commission, civic association, community group activity, or meeting, either onsite or virtually. We can give updates on utility issues, and trends, and highlight how we serve DC consumers. Call (202) 727-3071 if your group would like our staff to make an onsite or virtual presentation. Scheduled appearances are below.</w:t>
                        </w:r>
                      </w:p>
                      <w:p w14:paraId="7726F675"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p>
                      <w:p w14:paraId="2CC9E210"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New York Avenue Day</w:t>
                        </w:r>
                      </w:p>
                      <w:p w14:paraId="57F24785"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Department of Parks &amp; Recreation Family and Friends Event</w:t>
                        </w:r>
                      </w:p>
                      <w:p w14:paraId="04AE8CA4"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New York Avenue Recreation Center</w:t>
                        </w:r>
                      </w:p>
                      <w:p w14:paraId="37562275"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color w:val="000000"/>
                            <w:kern w:val="0"/>
                            <w:sz w:val="29"/>
                            <w:szCs w:val="29"/>
                            <w:bdr w:val="none" w:sz="0" w:space="0" w:color="auto" w:frame="1"/>
                            <w14:ligatures w14:val="none"/>
                          </w:rPr>
                          <w:t>100 N St NW</w:t>
                        </w:r>
                      </w:p>
                      <w:p w14:paraId="7E74A2CA"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Saturday, June 29</w:t>
                        </w:r>
                      </w:p>
                      <w:p w14:paraId="5B9619BD"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12:00 pm - 7:00 pm</w:t>
                        </w:r>
                      </w:p>
                      <w:p w14:paraId="28665954"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p>
                      <w:p w14:paraId="797DB40B"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color w:val="000000"/>
                            <w:kern w:val="0"/>
                            <w:sz w:val="29"/>
                            <w:szCs w:val="29"/>
                            <w:bdr w:val="none" w:sz="0" w:space="0" w:color="auto" w:frame="1"/>
                            <w14:ligatures w14:val="none"/>
                          </w:rPr>
                          <w:t>The Federal City Alumnae Chapter of</w:t>
                        </w:r>
                      </w:p>
                      <w:p w14:paraId="6671039A"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color w:val="000000"/>
                            <w:kern w:val="0"/>
                            <w:sz w:val="29"/>
                            <w:szCs w:val="29"/>
                            <w:bdr w:val="none" w:sz="0" w:space="0" w:color="auto" w:frame="1"/>
                            <w14:ligatures w14:val="none"/>
                          </w:rPr>
                          <w:t>Delta Sigma Theta Sorority, Incorporated Community Fair</w:t>
                        </w:r>
                      </w:p>
                      <w:p w14:paraId="18A423A8"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color w:val="000000"/>
                            <w:kern w:val="0"/>
                            <w:sz w:val="29"/>
                            <w:szCs w:val="29"/>
                            <w:bdr w:val="none" w:sz="0" w:space="0" w:color="auto" w:frame="1"/>
                            <w14:ligatures w14:val="none"/>
                          </w:rPr>
                          <w:t>SE Tennis &amp; Learning Center</w:t>
                        </w:r>
                      </w:p>
                      <w:p w14:paraId="6BF8AF68"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color w:val="000000"/>
                            <w:kern w:val="0"/>
                            <w:sz w:val="29"/>
                            <w:szCs w:val="29"/>
                            <w:bdr w:val="none" w:sz="0" w:space="0" w:color="auto" w:frame="1"/>
                            <w14:ligatures w14:val="none"/>
                          </w:rPr>
                          <w:t>701 Mississippi Avenue SE</w:t>
                        </w:r>
                      </w:p>
                      <w:p w14:paraId="3E6E1EA5"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color w:val="000000"/>
                            <w:kern w:val="0"/>
                            <w:sz w:val="29"/>
                            <w:szCs w:val="29"/>
                            <w:bdr w:val="none" w:sz="0" w:space="0" w:color="auto" w:frame="1"/>
                            <w14:ligatures w14:val="none"/>
                          </w:rPr>
                          <w:t>Saturday, July 27</w:t>
                        </w:r>
                      </w:p>
                      <w:p w14:paraId="219A6F25"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Tahoma" w:eastAsia="Times New Roman" w:hAnsi="Tahoma" w:cs="Tahoma"/>
                            <w:color w:val="000000"/>
                            <w:kern w:val="0"/>
                            <w:sz w:val="29"/>
                            <w:szCs w:val="29"/>
                            <w:bdr w:val="none" w:sz="0" w:space="0" w:color="auto" w:frame="1"/>
                            <w14:ligatures w14:val="none"/>
                          </w:rPr>
                          <w:t>﻿</w:t>
                        </w:r>
                        <w:r w:rsidRPr="00577E4E">
                          <w:rPr>
                            <w:rFonts w:ascii="inherit" w:eastAsia="Times New Roman" w:hAnsi="inherit" w:cs="Arial"/>
                            <w:color w:val="000000"/>
                            <w:kern w:val="0"/>
                            <w:sz w:val="29"/>
                            <w:szCs w:val="29"/>
                            <w:bdr w:val="none" w:sz="0" w:space="0" w:color="auto" w:frame="1"/>
                            <w14:ligatures w14:val="none"/>
                          </w:rPr>
                          <w:t>11:00 am - 3:00 pm</w:t>
                        </w:r>
                      </w:p>
                    </w:tc>
                  </w:tr>
                </w:tbl>
                <w:p w14:paraId="5D30166E"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6639BC94"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EDCB6F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1F2A3E9" w14:textId="77777777">
                    <w:trPr>
                      <w:tblCellSpacing w:w="0" w:type="dxa"/>
                      <w:jc w:val="center"/>
                    </w:trPr>
                    <w:tc>
                      <w:tcPr>
                        <w:tcW w:w="5000" w:type="pct"/>
                        <w:tcMar>
                          <w:top w:w="120" w:type="dxa"/>
                          <w:left w:w="300" w:type="dxa"/>
                          <w:bottom w:w="165"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5640D6D8" w14:textId="77777777">
                          <w:trPr>
                            <w:trHeight w:val="15"/>
                            <w:tblCellSpacing w:w="0" w:type="dxa"/>
                            <w:jc w:val="center"/>
                          </w:trPr>
                          <w:tc>
                            <w:tcPr>
                              <w:tcW w:w="0" w:type="auto"/>
                              <w:tcBorders>
                                <w:bottom w:val="nil"/>
                              </w:tcBorders>
                              <w:shd w:val="clear" w:color="auto" w:fill="101E3B"/>
                              <w:vAlign w:val="center"/>
                              <w:hideMark/>
                            </w:tcPr>
                            <w:p w14:paraId="50047672"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02624E58" wp14:editId="10644943">
                                    <wp:extent cx="44450" cy="6350"/>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07EF7BC"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04871FD4"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04652A35"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DEE88E4" w14:textId="77777777">
              <w:trPr>
                <w:tblCellSpacing w:w="0" w:type="dxa"/>
                <w:jc w:val="center"/>
              </w:trPr>
              <w:tc>
                <w:tcPr>
                  <w:tcW w:w="9000" w:type="dxa"/>
                  <w:hideMark/>
                </w:tcPr>
                <w:p w14:paraId="3810F75D" w14:textId="77777777" w:rsidR="00577E4E" w:rsidRPr="00577E4E" w:rsidRDefault="00577E4E" w:rsidP="00577E4E">
                  <w:pPr>
                    <w:spacing w:after="0" w:line="150" w:lineRule="atLeast"/>
                    <w:jc w:val="center"/>
                    <w:textAlignment w:val="baseline"/>
                    <w:rPr>
                      <w:rFonts w:ascii="inherit" w:eastAsia="Times New Roman" w:hAnsi="inherit" w:cs="Times New Roman"/>
                      <w:kern w:val="0"/>
                      <w:sz w:val="24"/>
                      <w:szCs w:val="24"/>
                      <w14:ligatures w14:val="none"/>
                    </w:rPr>
                  </w:pPr>
                  <w:r w:rsidRPr="00577E4E">
                    <w:rPr>
                      <w:rFonts w:ascii="inherit" w:eastAsia="Times New Roman" w:hAnsi="inherit" w:cs="Times New Roman"/>
                      <w:kern w:val="0"/>
                      <w:sz w:val="24"/>
                      <w:szCs w:val="24"/>
                      <w14:ligatures w14:val="none"/>
                    </w:rPr>
                    <w:t> </w:t>
                  </w:r>
                </w:p>
              </w:tc>
            </w:tr>
          </w:tbl>
          <w:p w14:paraId="4306986D"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F538E28" w14:textId="77777777">
              <w:trPr>
                <w:tblCellSpacing w:w="0" w:type="dxa"/>
                <w:jc w:val="center"/>
              </w:trPr>
              <w:tc>
                <w:tcPr>
                  <w:tcW w:w="0" w:type="auto"/>
                  <w:vAlign w:val="center"/>
                  <w:hideMark/>
                </w:tcPr>
                <w:p w14:paraId="6F126257" w14:textId="77777777" w:rsidR="00577E4E" w:rsidRPr="00577E4E" w:rsidRDefault="00577E4E" w:rsidP="00577E4E">
                  <w:pPr>
                    <w:spacing w:after="0" w:line="240" w:lineRule="auto"/>
                    <w:jc w:val="center"/>
                    <w:rPr>
                      <w:rFonts w:ascii="Segoe UI" w:eastAsia="Times New Roman" w:hAnsi="Segoe UI" w:cs="Segoe UI"/>
                      <w:color w:val="242424"/>
                      <w:kern w:val="0"/>
                      <w:sz w:val="23"/>
                      <w:szCs w:val="23"/>
                      <w14:ligatures w14:val="none"/>
                    </w:rPr>
                  </w:pPr>
                </w:p>
              </w:tc>
            </w:tr>
          </w:tbl>
          <w:p w14:paraId="33815366"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5CC6FD2" w14:textId="77777777">
              <w:trPr>
                <w:tblCellSpacing w:w="0" w:type="dxa"/>
                <w:jc w:val="center"/>
              </w:trPr>
              <w:tc>
                <w:tcPr>
                  <w:tcW w:w="0" w:type="auto"/>
                  <w:vAlign w:val="center"/>
                  <w:hideMark/>
                </w:tcPr>
                <w:p w14:paraId="036932BF" w14:textId="77777777" w:rsidR="00577E4E" w:rsidRPr="00577E4E" w:rsidRDefault="00577E4E" w:rsidP="00577E4E">
                  <w:pPr>
                    <w:spacing w:after="0" w:line="240" w:lineRule="auto"/>
                    <w:jc w:val="center"/>
                    <w:rPr>
                      <w:rFonts w:ascii="Segoe UI" w:eastAsia="Times New Roman" w:hAnsi="Segoe UI" w:cs="Segoe UI"/>
                      <w:color w:val="242424"/>
                      <w:kern w:val="0"/>
                      <w:sz w:val="23"/>
                      <w:szCs w:val="23"/>
                      <w14:ligatures w14:val="none"/>
                    </w:rPr>
                  </w:pPr>
                </w:p>
              </w:tc>
            </w:tr>
          </w:tbl>
          <w:p w14:paraId="3EEAD276"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D00D0A2" w14:textId="77777777">
              <w:trPr>
                <w:tblCellSpacing w:w="0" w:type="dxa"/>
                <w:jc w:val="center"/>
              </w:trPr>
              <w:tc>
                <w:tcPr>
                  <w:tcW w:w="0" w:type="auto"/>
                  <w:vAlign w:val="center"/>
                  <w:hideMark/>
                </w:tcPr>
                <w:p w14:paraId="5198C66B" w14:textId="77777777" w:rsidR="00577E4E" w:rsidRPr="00577E4E" w:rsidRDefault="00577E4E" w:rsidP="00577E4E">
                  <w:pPr>
                    <w:spacing w:after="0" w:line="240" w:lineRule="auto"/>
                    <w:jc w:val="center"/>
                    <w:rPr>
                      <w:rFonts w:ascii="Segoe UI" w:eastAsia="Times New Roman" w:hAnsi="Segoe UI" w:cs="Segoe UI"/>
                      <w:color w:val="242424"/>
                      <w:kern w:val="0"/>
                      <w:sz w:val="23"/>
                      <w:szCs w:val="23"/>
                      <w14:ligatures w14:val="none"/>
                    </w:rPr>
                  </w:pPr>
                </w:p>
              </w:tc>
            </w:tr>
          </w:tbl>
          <w:p w14:paraId="5350C7EB"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CFCE2CB"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4F80ED3" w14:textId="77777777">
                    <w:trPr>
                      <w:tblCellSpacing w:w="0" w:type="dxa"/>
                      <w:jc w:val="center"/>
                    </w:trPr>
                    <w:tc>
                      <w:tcPr>
                        <w:tcW w:w="0" w:type="auto"/>
                        <w:tcMar>
                          <w:top w:w="150" w:type="dxa"/>
                          <w:left w:w="300" w:type="dxa"/>
                          <w:bottom w:w="150" w:type="dxa"/>
                          <w:right w:w="300" w:type="dxa"/>
                        </w:tcMar>
                        <w:hideMark/>
                      </w:tcPr>
                      <w:p w14:paraId="5D125FF5"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b/>
                            <w:bCs/>
                            <w:color w:val="000000"/>
                            <w:kern w:val="0"/>
                            <w:sz w:val="39"/>
                            <w:szCs w:val="39"/>
                            <w:bdr w:val="none" w:sz="0" w:space="0" w:color="auto" w:frame="1"/>
                            <w14:ligatures w14:val="none"/>
                          </w:rPr>
                          <w:t>Photo Gallery</w:t>
                        </w:r>
                      </w:p>
                    </w:tc>
                  </w:tr>
                </w:tbl>
                <w:p w14:paraId="5B5D7FCE"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C95613B"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F4F344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7A5713E" w14:textId="77777777">
                    <w:trPr>
                      <w:tblCellSpacing w:w="0" w:type="dxa"/>
                      <w:jc w:val="center"/>
                    </w:trPr>
                    <w:tc>
                      <w:tcPr>
                        <w:tcW w:w="0" w:type="auto"/>
                        <w:tcMar>
                          <w:top w:w="150" w:type="dxa"/>
                          <w:left w:w="300" w:type="dxa"/>
                          <w:bottom w:w="150" w:type="dxa"/>
                          <w:right w:w="300" w:type="dxa"/>
                        </w:tcMar>
                        <w:hideMark/>
                      </w:tcPr>
                      <w:p w14:paraId="09C00C53"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lastRenderedPageBreak/>
                          <w:drawing>
                            <wp:inline distT="0" distB="0" distL="0" distR="0" wp14:anchorId="725B37CB" wp14:editId="5DCB37D1">
                              <wp:extent cx="4578350" cy="6108700"/>
                              <wp:effectExtent l="0" t="0" r="0" b="635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8350" cy="6108700"/>
                                      </a:xfrm>
                                      <a:prstGeom prst="rect">
                                        <a:avLst/>
                                      </a:prstGeom>
                                      <a:noFill/>
                                      <a:ln>
                                        <a:noFill/>
                                      </a:ln>
                                    </pic:spPr>
                                  </pic:pic>
                                </a:graphicData>
                              </a:graphic>
                            </wp:inline>
                          </w:drawing>
                        </w:r>
                      </w:p>
                    </w:tc>
                  </w:tr>
                </w:tbl>
                <w:p w14:paraId="10F62DFE"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2C955AD1"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F092B04" w14:textId="77777777">
              <w:trPr>
                <w:tblCellSpacing w:w="0" w:type="dxa"/>
                <w:jc w:val="center"/>
              </w:trPr>
              <w:tc>
                <w:tcPr>
                  <w:tcW w:w="9000" w:type="dxa"/>
                  <w:hideMark/>
                </w:tcPr>
                <w:p w14:paraId="78C9C14A" w14:textId="77777777" w:rsidR="00577E4E" w:rsidRPr="00577E4E" w:rsidRDefault="00577E4E" w:rsidP="00577E4E">
                  <w:pPr>
                    <w:spacing w:after="0" w:line="240" w:lineRule="auto"/>
                    <w:jc w:val="center"/>
                    <w:rPr>
                      <w:rFonts w:ascii="Segoe UI" w:eastAsia="Times New Roman" w:hAnsi="Segoe UI" w:cs="Segoe UI"/>
                      <w:color w:val="242424"/>
                      <w:kern w:val="0"/>
                      <w:sz w:val="23"/>
                      <w:szCs w:val="23"/>
                      <w14:ligatures w14:val="none"/>
                    </w:rPr>
                  </w:pPr>
                </w:p>
              </w:tc>
            </w:tr>
          </w:tbl>
          <w:p w14:paraId="4DC43176"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588CFB8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5AC3B25" w14:textId="77777777">
                    <w:trPr>
                      <w:tblCellSpacing w:w="0" w:type="dxa"/>
                      <w:jc w:val="center"/>
                    </w:trPr>
                    <w:tc>
                      <w:tcPr>
                        <w:tcW w:w="0" w:type="auto"/>
                        <w:tcMar>
                          <w:top w:w="150" w:type="dxa"/>
                          <w:left w:w="300" w:type="dxa"/>
                          <w:bottom w:w="150" w:type="dxa"/>
                          <w:right w:w="300" w:type="dxa"/>
                        </w:tcMar>
                        <w:hideMark/>
                      </w:tcPr>
                      <w:p w14:paraId="7AAA6331"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Consumers at the Anacostia Neighborhood Library check out the goods OPC gives away along with valuable information about how we serve DC utility consumers.</w:t>
                        </w:r>
                      </w:p>
                    </w:tc>
                  </w:tr>
                </w:tbl>
                <w:p w14:paraId="6B65ED74" w14:textId="77777777" w:rsidR="00577E4E" w:rsidRPr="00577E4E" w:rsidRDefault="00577E4E" w:rsidP="00577E4E">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5CA73C9D" w14:textId="77777777">
                    <w:trPr>
                      <w:tblCellSpacing w:w="0" w:type="dxa"/>
                      <w:jc w:val="center"/>
                    </w:trPr>
                    <w:tc>
                      <w:tcPr>
                        <w:tcW w:w="0" w:type="auto"/>
                        <w:tcMar>
                          <w:top w:w="150" w:type="dxa"/>
                          <w:left w:w="300" w:type="dxa"/>
                          <w:bottom w:w="150" w:type="dxa"/>
                          <w:right w:w="300" w:type="dxa"/>
                        </w:tcMar>
                        <w:hideMark/>
                      </w:tcPr>
                      <w:p w14:paraId="40537473"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lastRenderedPageBreak/>
                          <w:drawing>
                            <wp:inline distT="0" distB="0" distL="0" distR="0" wp14:anchorId="156C498D" wp14:editId="764E6D40">
                              <wp:extent cx="5346700" cy="3587750"/>
                              <wp:effectExtent l="0" t="0" r="635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6700" cy="3587750"/>
                                      </a:xfrm>
                                      <a:prstGeom prst="rect">
                                        <a:avLst/>
                                      </a:prstGeom>
                                      <a:noFill/>
                                      <a:ln>
                                        <a:noFill/>
                                      </a:ln>
                                    </pic:spPr>
                                  </pic:pic>
                                </a:graphicData>
                              </a:graphic>
                            </wp:inline>
                          </w:drawing>
                        </w:r>
                      </w:p>
                    </w:tc>
                  </w:tr>
                </w:tbl>
                <w:p w14:paraId="16CD2EE6"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39B53CC"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5E2AE4A"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9DAC88A" w14:textId="77777777">
                    <w:trPr>
                      <w:tblCellSpacing w:w="0" w:type="dxa"/>
                      <w:jc w:val="center"/>
                    </w:trPr>
                    <w:tc>
                      <w:tcPr>
                        <w:tcW w:w="0" w:type="auto"/>
                        <w:tcMar>
                          <w:top w:w="150" w:type="dxa"/>
                          <w:left w:w="300" w:type="dxa"/>
                          <w:bottom w:w="150" w:type="dxa"/>
                          <w:right w:w="300" w:type="dxa"/>
                        </w:tcMar>
                        <w:hideMark/>
                      </w:tcPr>
                      <w:p w14:paraId="68EA9173"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Learning and fun were on the agenda for OPC kids and their parents as the agency hosted Bring Your Child to Work Day.</w:t>
                        </w:r>
                      </w:p>
                    </w:tc>
                  </w:tr>
                </w:tbl>
                <w:p w14:paraId="294C0EDB"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444538B4"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1C7434A"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0C0CEE3" w14:textId="77777777">
                    <w:trPr>
                      <w:tblCellSpacing w:w="0" w:type="dxa"/>
                      <w:jc w:val="center"/>
                    </w:trPr>
                    <w:tc>
                      <w:tcPr>
                        <w:tcW w:w="0" w:type="auto"/>
                        <w:tcMar>
                          <w:top w:w="150" w:type="dxa"/>
                          <w:left w:w="300" w:type="dxa"/>
                          <w:bottom w:w="150" w:type="dxa"/>
                          <w:right w:w="300" w:type="dxa"/>
                        </w:tcMar>
                        <w:hideMark/>
                      </w:tcPr>
                      <w:p w14:paraId="2E9D39D8"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39C237F2" wp14:editId="6AE916F4">
                              <wp:extent cx="5346700" cy="3168650"/>
                              <wp:effectExtent l="0" t="0" r="635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6700" cy="3168650"/>
                                      </a:xfrm>
                                      <a:prstGeom prst="rect">
                                        <a:avLst/>
                                      </a:prstGeom>
                                      <a:noFill/>
                                      <a:ln>
                                        <a:noFill/>
                                      </a:ln>
                                    </pic:spPr>
                                  </pic:pic>
                                </a:graphicData>
                              </a:graphic>
                            </wp:inline>
                          </w:drawing>
                        </w:r>
                      </w:p>
                    </w:tc>
                  </w:tr>
                </w:tbl>
                <w:p w14:paraId="5FCDB5E0"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046D63D3"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1D412741"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26C74EDF" w14:textId="77777777">
                    <w:trPr>
                      <w:tblCellSpacing w:w="0" w:type="dxa"/>
                      <w:jc w:val="center"/>
                    </w:trPr>
                    <w:tc>
                      <w:tcPr>
                        <w:tcW w:w="0" w:type="auto"/>
                        <w:tcMar>
                          <w:top w:w="150" w:type="dxa"/>
                          <w:left w:w="300" w:type="dxa"/>
                          <w:bottom w:w="150" w:type="dxa"/>
                          <w:right w:w="300" w:type="dxa"/>
                        </w:tcMar>
                        <w:hideMark/>
                      </w:tcPr>
                      <w:p w14:paraId="739B4587"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lastRenderedPageBreak/>
                          <w:t>Members of the OPC Utility Consumer Advocacy Network at their quarterly meeting with staff. UCAN members keep us up to date on community buzz and get staff updates on key issues like disconnection trends, rate increases &amp; bill payment assistance.</w:t>
                        </w:r>
                      </w:p>
                    </w:tc>
                  </w:tr>
                </w:tbl>
                <w:p w14:paraId="47297A2F"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678BBBB5"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8A1E40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4EAA3CA" w14:textId="77777777">
                    <w:trPr>
                      <w:tblCellSpacing w:w="0" w:type="dxa"/>
                      <w:jc w:val="center"/>
                    </w:trPr>
                    <w:tc>
                      <w:tcPr>
                        <w:tcW w:w="0" w:type="auto"/>
                        <w:tcMar>
                          <w:top w:w="150" w:type="dxa"/>
                          <w:left w:w="300" w:type="dxa"/>
                          <w:bottom w:w="150" w:type="dxa"/>
                          <w:right w:w="300" w:type="dxa"/>
                        </w:tcMar>
                        <w:hideMark/>
                      </w:tcPr>
                      <w:p w14:paraId="76ACF973"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0B2278E4" wp14:editId="44848C2F">
                              <wp:extent cx="5334000" cy="3911600"/>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3911600"/>
                                      </a:xfrm>
                                      <a:prstGeom prst="rect">
                                        <a:avLst/>
                                      </a:prstGeom>
                                      <a:noFill/>
                                      <a:ln>
                                        <a:noFill/>
                                      </a:ln>
                                    </pic:spPr>
                                  </pic:pic>
                                </a:graphicData>
                              </a:graphic>
                            </wp:inline>
                          </w:drawing>
                        </w:r>
                      </w:p>
                    </w:tc>
                  </w:tr>
                </w:tbl>
                <w:p w14:paraId="189A75B2"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5B70EB4"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102EBEC8"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A89D928" w14:textId="77777777">
                    <w:trPr>
                      <w:tblCellSpacing w:w="0" w:type="dxa"/>
                      <w:jc w:val="center"/>
                    </w:trPr>
                    <w:tc>
                      <w:tcPr>
                        <w:tcW w:w="0" w:type="auto"/>
                        <w:tcMar>
                          <w:top w:w="150" w:type="dxa"/>
                          <w:left w:w="300" w:type="dxa"/>
                          <w:bottom w:w="150" w:type="dxa"/>
                          <w:right w:w="300" w:type="dxa"/>
                        </w:tcMar>
                        <w:hideMark/>
                      </w:tcPr>
                      <w:p w14:paraId="0ABC07F4"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OPC staff take life-saving American Red Cross CPR training.</w:t>
                        </w:r>
                      </w:p>
                    </w:tc>
                  </w:tr>
                </w:tbl>
                <w:p w14:paraId="455CB23E"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6C59B25B"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33A35A74"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CF5C150" w14:textId="77777777">
                    <w:trPr>
                      <w:tblCellSpacing w:w="0" w:type="dxa"/>
                      <w:jc w:val="center"/>
                    </w:trPr>
                    <w:tc>
                      <w:tcPr>
                        <w:tcW w:w="0" w:type="auto"/>
                        <w:tcMar>
                          <w:top w:w="150" w:type="dxa"/>
                          <w:left w:w="300" w:type="dxa"/>
                          <w:bottom w:w="150" w:type="dxa"/>
                          <w:right w:w="300" w:type="dxa"/>
                        </w:tcMar>
                        <w:hideMark/>
                      </w:tcPr>
                      <w:p w14:paraId="481C33A3"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2C02BA3F" wp14:editId="7FAFCE30">
                              <wp:extent cx="5334000" cy="2336800"/>
                              <wp:effectExtent l="0" t="0" r="0" b="635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2336800"/>
                                      </a:xfrm>
                                      <a:prstGeom prst="rect">
                                        <a:avLst/>
                                      </a:prstGeom>
                                      <a:noFill/>
                                      <a:ln>
                                        <a:noFill/>
                                      </a:ln>
                                    </pic:spPr>
                                  </pic:pic>
                                </a:graphicData>
                              </a:graphic>
                            </wp:inline>
                          </w:drawing>
                        </w:r>
                      </w:p>
                    </w:tc>
                  </w:tr>
                </w:tbl>
                <w:p w14:paraId="7B0616BD"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1CD1EF7B"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7E868F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61FFBC4" w14:textId="77777777">
                    <w:trPr>
                      <w:tblCellSpacing w:w="0" w:type="dxa"/>
                      <w:jc w:val="center"/>
                    </w:trPr>
                    <w:tc>
                      <w:tcPr>
                        <w:tcW w:w="0" w:type="auto"/>
                        <w:tcMar>
                          <w:top w:w="150" w:type="dxa"/>
                          <w:left w:w="300" w:type="dxa"/>
                          <w:bottom w:w="150" w:type="dxa"/>
                          <w:right w:w="300" w:type="dxa"/>
                        </w:tcMar>
                        <w:hideMark/>
                      </w:tcPr>
                      <w:p w14:paraId="3CDD0545"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lastRenderedPageBreak/>
                          <w:drawing>
                            <wp:inline distT="0" distB="0" distL="0" distR="0" wp14:anchorId="1685F656" wp14:editId="2C47EE20">
                              <wp:extent cx="5334000" cy="2343150"/>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2343150"/>
                                      </a:xfrm>
                                      <a:prstGeom prst="rect">
                                        <a:avLst/>
                                      </a:prstGeom>
                                      <a:noFill/>
                                      <a:ln>
                                        <a:noFill/>
                                      </a:ln>
                                    </pic:spPr>
                                  </pic:pic>
                                </a:graphicData>
                              </a:graphic>
                            </wp:inline>
                          </w:drawing>
                        </w:r>
                      </w:p>
                    </w:tc>
                  </w:tr>
                </w:tbl>
                <w:p w14:paraId="140A3D90"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5A10D481"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C2189B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D52AA76" w14:textId="77777777">
                    <w:trPr>
                      <w:tblCellSpacing w:w="0" w:type="dxa"/>
                      <w:jc w:val="center"/>
                    </w:trPr>
                    <w:tc>
                      <w:tcPr>
                        <w:tcW w:w="0" w:type="auto"/>
                        <w:tcMar>
                          <w:top w:w="150" w:type="dxa"/>
                          <w:left w:w="300" w:type="dxa"/>
                          <w:bottom w:w="150" w:type="dxa"/>
                          <w:right w:w="300" w:type="dxa"/>
                        </w:tcMar>
                        <w:hideMark/>
                      </w:tcPr>
                      <w:p w14:paraId="52B538D8" w14:textId="77777777" w:rsidR="00577E4E" w:rsidRPr="00577E4E" w:rsidRDefault="00577E4E" w:rsidP="00577E4E">
                        <w:pPr>
                          <w:spacing w:after="0" w:line="240" w:lineRule="auto"/>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9"/>
                            <w:szCs w:val="29"/>
                            <w:bdr w:val="none" w:sz="0" w:space="0" w:color="auto" w:frame="1"/>
                            <w14:ligatures w14:val="none"/>
                          </w:rPr>
                          <w:t>OPC's Pamela Nelson and Dr. Yohannes Mariam, both on the left, attend the members' meeting of the Clean Energy States Alliance.</w:t>
                        </w:r>
                      </w:p>
                    </w:tc>
                  </w:tr>
                </w:tbl>
                <w:p w14:paraId="37622B3D"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DAE1BE9"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1D68752C"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F1D230D"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77E4E" w:rsidRPr="00577E4E" w14:paraId="2CE0C87E" w14:textId="77777777">
                          <w:trPr>
                            <w:trHeight w:val="15"/>
                            <w:tblCellSpacing w:w="0" w:type="dxa"/>
                            <w:jc w:val="center"/>
                          </w:trPr>
                          <w:tc>
                            <w:tcPr>
                              <w:tcW w:w="0" w:type="auto"/>
                              <w:tcBorders>
                                <w:bottom w:val="nil"/>
                              </w:tcBorders>
                              <w:shd w:val="clear" w:color="auto" w:fill="101E3B"/>
                              <w:vAlign w:val="center"/>
                              <w:hideMark/>
                            </w:tcPr>
                            <w:p w14:paraId="5B7183F9"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5E8713E5" wp14:editId="7F1322F6">
                                    <wp:extent cx="44450" cy="6350"/>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67845DE"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6BD6758C"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4B63CF75"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1B3DE5F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36F35BCB" w14:textId="77777777">
                    <w:trPr>
                      <w:tblCellSpacing w:w="0" w:type="dxa"/>
                      <w:jc w:val="center"/>
                    </w:trPr>
                    <w:tc>
                      <w:tcPr>
                        <w:tcW w:w="0" w:type="auto"/>
                        <w:tcMar>
                          <w:top w:w="150" w:type="dxa"/>
                          <w:left w:w="300" w:type="dxa"/>
                          <w:bottom w:w="150" w:type="dxa"/>
                          <w:right w:w="300" w:type="dxa"/>
                        </w:tcMar>
                        <w:hideMark/>
                      </w:tcPr>
                      <w:p w14:paraId="4F1A975E"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b/>
                            <w:bCs/>
                            <w:color w:val="000000"/>
                            <w:kern w:val="0"/>
                            <w:sz w:val="33"/>
                            <w:szCs w:val="33"/>
                            <w:bdr w:val="none" w:sz="0" w:space="0" w:color="auto" w:frame="1"/>
                            <w14:ligatures w14:val="none"/>
                          </w:rPr>
                          <w:t>Connect With OPC!</w:t>
                        </w:r>
                      </w:p>
                      <w:p w14:paraId="4A2DBF26"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p>
                      <w:p w14:paraId="580AF204" w14:textId="77777777" w:rsidR="00577E4E" w:rsidRPr="00577E4E" w:rsidRDefault="00577E4E" w:rsidP="00577E4E">
                        <w:pPr>
                          <w:spacing w:after="0" w:line="240" w:lineRule="auto"/>
                          <w:jc w:val="both"/>
                          <w:rPr>
                            <w:rFonts w:ascii="Arial" w:eastAsia="Times New Roman" w:hAnsi="Arial" w:cs="Arial"/>
                            <w:color w:val="000000"/>
                            <w:kern w:val="0"/>
                            <w:sz w:val="24"/>
                            <w:szCs w:val="24"/>
                            <w14:ligatures w14:val="none"/>
                          </w:rPr>
                        </w:pPr>
                        <w:r w:rsidRPr="00577E4E">
                          <w:rPr>
                            <w:rFonts w:ascii="inherit" w:eastAsia="Times New Roman" w:hAnsi="inherit" w:cs="Arial"/>
                            <w:color w:val="000000"/>
                            <w:kern w:val="0"/>
                            <w:sz w:val="27"/>
                            <w:szCs w:val="27"/>
                            <w:bdr w:val="none" w:sz="0" w:space="0" w:color="auto" w:frame="1"/>
                            <w14:ligatures w14:val="none"/>
                          </w:rPr>
                          <w:t>Do you have feedback or an idea for an article that could be featured in an upcoming edition of the OPC Connection? We want to hear from you! Just drop our editorial team an email @ </w:t>
                        </w:r>
                        <w:hyperlink r:id="rId40" w:history="1">
                          <w:r w:rsidRPr="00577E4E">
                            <w:rPr>
                              <w:rFonts w:ascii="inherit" w:eastAsia="Times New Roman" w:hAnsi="inherit" w:cs="Arial"/>
                              <w:b/>
                              <w:bCs/>
                              <w:color w:val="0000FF"/>
                              <w:kern w:val="0"/>
                              <w:sz w:val="27"/>
                              <w:szCs w:val="27"/>
                              <w:u w:val="single"/>
                              <w:bdr w:val="none" w:sz="0" w:space="0" w:color="auto" w:frame="1"/>
                              <w14:ligatures w14:val="none"/>
                            </w:rPr>
                            <w:t>info@opc-dc.gov</w:t>
                          </w:r>
                        </w:hyperlink>
                        <w:r w:rsidRPr="00577E4E">
                          <w:rPr>
                            <w:rFonts w:ascii="inherit" w:eastAsia="Times New Roman" w:hAnsi="inherit" w:cs="Arial"/>
                            <w:color w:val="000000"/>
                            <w:kern w:val="0"/>
                            <w:sz w:val="27"/>
                            <w:szCs w:val="27"/>
                            <w:bdr w:val="none" w:sz="0" w:space="0" w:color="auto" w:frame="1"/>
                            <w14:ligatures w14:val="none"/>
                          </w:rPr>
                          <w:t> or X/tweet us </w:t>
                        </w:r>
                        <w:hyperlink r:id="rId41" w:tgtFrame="_blank" w:history="1">
                          <w:r w:rsidRPr="00577E4E">
                            <w:rPr>
                              <w:rFonts w:ascii="inherit" w:eastAsia="Times New Roman" w:hAnsi="inherit" w:cs="Arial"/>
                              <w:b/>
                              <w:bCs/>
                              <w:color w:val="0000FF"/>
                              <w:kern w:val="0"/>
                              <w:sz w:val="27"/>
                              <w:szCs w:val="27"/>
                              <w:u w:val="single"/>
                              <w:bdr w:val="none" w:sz="0" w:space="0" w:color="auto" w:frame="1"/>
                              <w14:ligatures w14:val="none"/>
                            </w:rPr>
                            <w:t>@DCOPC</w:t>
                          </w:r>
                        </w:hyperlink>
                        <w:r w:rsidRPr="00577E4E">
                          <w:rPr>
                            <w:rFonts w:ascii="inherit" w:eastAsia="Times New Roman" w:hAnsi="inherit" w:cs="Arial"/>
                            <w:color w:val="000000"/>
                            <w:kern w:val="0"/>
                            <w:sz w:val="27"/>
                            <w:szCs w:val="27"/>
                            <w:bdr w:val="none" w:sz="0" w:space="0" w:color="auto" w:frame="1"/>
                            <w14:ligatures w14:val="none"/>
                          </w:rPr>
                          <w:t>.</w:t>
                        </w:r>
                      </w:p>
                    </w:tc>
                  </w:tr>
                </w:tbl>
                <w:p w14:paraId="31155A81"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0AB6203"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41292D4F" w14:textId="77777777">
              <w:trPr>
                <w:tblCellSpacing w:w="0" w:type="dxa"/>
                <w:jc w:val="center"/>
              </w:trPr>
              <w:tc>
                <w:tcPr>
                  <w:tcW w:w="9000" w:type="dxa"/>
                  <w:hideMark/>
                </w:tcPr>
                <w:p w14:paraId="39DBD28D" w14:textId="77777777" w:rsidR="00577E4E" w:rsidRPr="00577E4E" w:rsidRDefault="00577E4E" w:rsidP="00577E4E">
                  <w:pPr>
                    <w:spacing w:after="0" w:line="150" w:lineRule="atLeast"/>
                    <w:jc w:val="center"/>
                    <w:textAlignment w:val="baseline"/>
                    <w:rPr>
                      <w:rFonts w:ascii="inherit" w:eastAsia="Times New Roman" w:hAnsi="inherit" w:cs="Times New Roman"/>
                      <w:kern w:val="0"/>
                      <w:sz w:val="24"/>
                      <w:szCs w:val="24"/>
                      <w14:ligatures w14:val="none"/>
                    </w:rPr>
                  </w:pPr>
                  <w:r w:rsidRPr="00577E4E">
                    <w:rPr>
                      <w:rFonts w:ascii="inherit" w:eastAsia="Times New Roman" w:hAnsi="inherit" w:cs="Times New Roman"/>
                      <w:kern w:val="0"/>
                      <w:sz w:val="24"/>
                      <w:szCs w:val="24"/>
                      <w14:ligatures w14:val="none"/>
                    </w:rPr>
                    <w:t> </w:t>
                  </w:r>
                </w:p>
              </w:tc>
            </w:tr>
          </w:tbl>
          <w:p w14:paraId="63BC117B"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0A0C4A2" w14:textId="77777777">
              <w:trPr>
                <w:tblCellSpacing w:w="0" w:type="dxa"/>
                <w:jc w:val="center"/>
              </w:trPr>
              <w:tc>
                <w:tcPr>
                  <w:tcW w:w="0" w:type="auto"/>
                  <w:vAlign w:val="center"/>
                  <w:hideMark/>
                </w:tcPr>
                <w:p w14:paraId="40F77719" w14:textId="77777777" w:rsidR="00577E4E" w:rsidRPr="00577E4E" w:rsidRDefault="00577E4E" w:rsidP="00577E4E">
                  <w:pPr>
                    <w:spacing w:after="0" w:line="240" w:lineRule="auto"/>
                    <w:jc w:val="center"/>
                    <w:rPr>
                      <w:rFonts w:ascii="Segoe UI" w:eastAsia="Times New Roman" w:hAnsi="Segoe UI" w:cs="Segoe UI"/>
                      <w:color w:val="242424"/>
                      <w:kern w:val="0"/>
                      <w:sz w:val="23"/>
                      <w:szCs w:val="23"/>
                      <w14:ligatures w14:val="none"/>
                    </w:rPr>
                  </w:pPr>
                </w:p>
              </w:tc>
            </w:tr>
          </w:tbl>
          <w:p w14:paraId="62A470C9"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3AD61D44"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964C5FC" w14:textId="77777777">
                    <w:trPr>
                      <w:tblCellSpacing w:w="0" w:type="dxa"/>
                      <w:jc w:val="center"/>
                    </w:trPr>
                    <w:tc>
                      <w:tcPr>
                        <w:tcW w:w="5000" w:type="pct"/>
                        <w:tcMar>
                          <w:top w:w="135" w:type="dxa"/>
                          <w:left w:w="0" w:type="dxa"/>
                          <w:bottom w:w="135"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577E4E" w:rsidRPr="00577E4E" w14:paraId="499B9596" w14:textId="77777777">
                          <w:trPr>
                            <w:trHeight w:val="15"/>
                            <w:tblCellSpacing w:w="0" w:type="dxa"/>
                            <w:jc w:val="center"/>
                          </w:trPr>
                          <w:tc>
                            <w:tcPr>
                              <w:tcW w:w="0" w:type="auto"/>
                              <w:tcBorders>
                                <w:bottom w:val="nil"/>
                              </w:tcBorders>
                              <w:shd w:val="clear" w:color="auto" w:fill="101E3B"/>
                              <w:vAlign w:val="center"/>
                              <w:hideMark/>
                            </w:tcPr>
                            <w:p w14:paraId="5987CBA0"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1C31315A" wp14:editId="263F1872">
                                    <wp:extent cx="44450" cy="6350"/>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0C67AE0"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A0C0985"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432D8D8C"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1681D681"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5FA2AD6E" w14:textId="77777777">
                    <w:trPr>
                      <w:tblCellSpacing w:w="0" w:type="dxa"/>
                      <w:jc w:val="center"/>
                    </w:trPr>
                    <w:tc>
                      <w:tcPr>
                        <w:tcW w:w="0" w:type="auto"/>
                        <w:tcMar>
                          <w:top w:w="150" w:type="dxa"/>
                          <w:left w:w="300" w:type="dxa"/>
                          <w:bottom w:w="150" w:type="dxa"/>
                          <w:right w:w="300" w:type="dxa"/>
                        </w:tcMar>
                        <w:hideMark/>
                      </w:tcPr>
                      <w:p w14:paraId="459C1784"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b/>
                            <w:bCs/>
                            <w:color w:val="000000"/>
                            <w:kern w:val="0"/>
                            <w:sz w:val="33"/>
                            <w:szCs w:val="33"/>
                            <w:bdr w:val="none" w:sz="0" w:space="0" w:color="auto" w:frame="1"/>
                            <w14:ligatures w14:val="none"/>
                          </w:rPr>
                          <w:t>OPC Connection Editorial Team:</w:t>
                        </w:r>
                      </w:p>
                      <w:p w14:paraId="103EECC3"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p>
                      <w:p w14:paraId="590DA518"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7"/>
                            <w:szCs w:val="27"/>
                            <w:bdr w:val="none" w:sz="0" w:space="0" w:color="auto" w:frame="1"/>
                            <w14:ligatures w14:val="none"/>
                          </w:rPr>
                          <w:t>Doxie McCoy, Phillip Harmon, Quaneisha Glover,</w:t>
                        </w:r>
                      </w:p>
                      <w:p w14:paraId="7B8362A8"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proofErr w:type="spellStart"/>
                        <w:r w:rsidRPr="00577E4E">
                          <w:rPr>
                            <w:rFonts w:ascii="Arial" w:eastAsia="Times New Roman" w:hAnsi="Arial" w:cs="Arial"/>
                            <w:color w:val="000000"/>
                            <w:kern w:val="0"/>
                            <w:sz w:val="27"/>
                            <w:szCs w:val="27"/>
                            <w:bdr w:val="none" w:sz="0" w:space="0" w:color="auto" w:frame="1"/>
                            <w14:ligatures w14:val="none"/>
                          </w:rPr>
                          <w:t>Chawndise</w:t>
                        </w:r>
                        <w:proofErr w:type="spellEnd"/>
                        <w:r w:rsidRPr="00577E4E">
                          <w:rPr>
                            <w:rFonts w:ascii="Arial" w:eastAsia="Times New Roman" w:hAnsi="Arial" w:cs="Arial"/>
                            <w:color w:val="000000"/>
                            <w:kern w:val="0"/>
                            <w:sz w:val="27"/>
                            <w:szCs w:val="27"/>
                            <w:bdr w:val="none" w:sz="0" w:space="0" w:color="auto" w:frame="1"/>
                            <w14:ligatures w14:val="none"/>
                          </w:rPr>
                          <w:t xml:space="preserve"> Battle, Dwayne Houston, Alya Solomon, Valca Valentine</w:t>
                        </w:r>
                      </w:p>
                      <w:p w14:paraId="7A6CB82B"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Tahoma" w:eastAsia="Times New Roman" w:hAnsi="Tahoma" w:cs="Tahoma"/>
                            <w:color w:val="000000"/>
                            <w:kern w:val="0"/>
                            <w:sz w:val="24"/>
                            <w:szCs w:val="24"/>
                            <w:bdr w:val="none" w:sz="0" w:space="0" w:color="auto" w:frame="1"/>
                            <w14:ligatures w14:val="none"/>
                          </w:rPr>
                          <w:t>﻿</w:t>
                        </w:r>
                      </w:p>
                      <w:p w14:paraId="37E2549D"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inherit" w:eastAsia="Times New Roman" w:hAnsi="inherit" w:cs="Arial"/>
                            <w:b/>
                            <w:bCs/>
                            <w:color w:val="000000"/>
                            <w:kern w:val="0"/>
                            <w:sz w:val="33"/>
                            <w:szCs w:val="33"/>
                            <w:bdr w:val="none" w:sz="0" w:space="0" w:color="auto" w:frame="1"/>
                            <w14:ligatures w14:val="none"/>
                          </w:rPr>
                          <w:t>Contributors:</w:t>
                        </w:r>
                      </w:p>
                      <w:p w14:paraId="00D4E2C8"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Tahoma" w:eastAsia="Times New Roman" w:hAnsi="Tahoma" w:cs="Tahoma"/>
                            <w:b/>
                            <w:bCs/>
                            <w:color w:val="000000"/>
                            <w:kern w:val="0"/>
                            <w:sz w:val="27"/>
                            <w:szCs w:val="27"/>
                            <w:bdr w:val="none" w:sz="0" w:space="0" w:color="auto" w:frame="1"/>
                            <w14:ligatures w14:val="none"/>
                          </w:rPr>
                          <w:t>﻿</w:t>
                        </w:r>
                      </w:p>
                      <w:p w14:paraId="020CBAAC"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7"/>
                            <w:szCs w:val="27"/>
                            <w:bdr w:val="none" w:sz="0" w:space="0" w:color="auto" w:frame="1"/>
                            <w14:ligatures w14:val="none"/>
                          </w:rPr>
                          <w:t>Sandra Mattavous-Frye, Karen Sistrunk, Laurence Daniels,</w:t>
                        </w:r>
                      </w:p>
                      <w:p w14:paraId="3D620BD0"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7"/>
                            <w:szCs w:val="27"/>
                            <w:bdr w:val="none" w:sz="0" w:space="0" w:color="auto" w:frame="1"/>
                            <w14:ligatures w14:val="none"/>
                          </w:rPr>
                          <w:t>Antaeus Hayes, Linda Jefferson, Ade Adeniyi,</w:t>
                        </w:r>
                      </w:p>
                      <w:p w14:paraId="756BF9CB"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proofErr w:type="spellStart"/>
                        <w:r w:rsidRPr="00577E4E">
                          <w:rPr>
                            <w:rFonts w:ascii="Arial" w:eastAsia="Times New Roman" w:hAnsi="Arial" w:cs="Arial"/>
                            <w:color w:val="000000"/>
                            <w:kern w:val="0"/>
                            <w:sz w:val="27"/>
                            <w:szCs w:val="27"/>
                            <w:bdr w:val="none" w:sz="0" w:space="0" w:color="auto" w:frame="1"/>
                            <w14:ligatures w14:val="none"/>
                          </w:rPr>
                          <w:t>CharQuia</w:t>
                        </w:r>
                        <w:proofErr w:type="spellEnd"/>
                        <w:r w:rsidRPr="00577E4E">
                          <w:rPr>
                            <w:rFonts w:ascii="Arial" w:eastAsia="Times New Roman" w:hAnsi="Arial" w:cs="Arial"/>
                            <w:color w:val="000000"/>
                            <w:kern w:val="0"/>
                            <w:sz w:val="27"/>
                            <w:szCs w:val="27"/>
                            <w:bdr w:val="none" w:sz="0" w:space="0" w:color="auto" w:frame="1"/>
                            <w14:ligatures w14:val="none"/>
                          </w:rPr>
                          <w:t xml:space="preserve"> Barringtine, Adam </w:t>
                        </w:r>
                        <w:proofErr w:type="spellStart"/>
                        <w:r w:rsidRPr="00577E4E">
                          <w:rPr>
                            <w:rFonts w:ascii="Arial" w:eastAsia="Times New Roman" w:hAnsi="Arial" w:cs="Arial"/>
                            <w:color w:val="000000"/>
                            <w:kern w:val="0"/>
                            <w:sz w:val="27"/>
                            <w:szCs w:val="27"/>
                            <w:bdr w:val="none" w:sz="0" w:space="0" w:color="auto" w:frame="1"/>
                            <w14:ligatures w14:val="none"/>
                          </w:rPr>
                          <w:t>Carlesco</w:t>
                        </w:r>
                        <w:proofErr w:type="spellEnd"/>
                        <w:r w:rsidRPr="00577E4E">
                          <w:rPr>
                            <w:rFonts w:ascii="Arial" w:eastAsia="Times New Roman" w:hAnsi="Arial" w:cs="Arial"/>
                            <w:color w:val="000000"/>
                            <w:kern w:val="0"/>
                            <w:sz w:val="27"/>
                            <w:szCs w:val="27"/>
                            <w:bdr w:val="none" w:sz="0" w:space="0" w:color="auto" w:frame="1"/>
                            <w14:ligatures w14:val="none"/>
                          </w:rPr>
                          <w:t>, Ankush Nayar</w:t>
                        </w:r>
                      </w:p>
                      <w:p w14:paraId="4A5AE06C"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p>
                      <w:p w14:paraId="1B607CDB"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Tahoma" w:eastAsia="Times New Roman" w:hAnsi="Tahoma" w:cs="Tahoma"/>
                            <w:color w:val="000000"/>
                            <w:kern w:val="0"/>
                            <w:sz w:val="27"/>
                            <w:szCs w:val="27"/>
                            <w:bdr w:val="none" w:sz="0" w:space="0" w:color="auto" w:frame="1"/>
                            <w14:ligatures w14:val="none"/>
                          </w:rPr>
                          <w:t>﻿</w:t>
                        </w:r>
                      </w:p>
                    </w:tc>
                  </w:tr>
                </w:tbl>
                <w:p w14:paraId="7EE446EC"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0E0ED5A1"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00273668"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2BCDBFF" w14:textId="77777777">
                    <w:trPr>
                      <w:tblCellSpacing w:w="0" w:type="dxa"/>
                      <w:jc w:val="center"/>
                    </w:trPr>
                    <w:tc>
                      <w:tcPr>
                        <w:tcW w:w="5000" w:type="pct"/>
                        <w:tcMar>
                          <w:top w:w="135" w:type="dxa"/>
                          <w:left w:w="0" w:type="dxa"/>
                          <w:bottom w:w="135"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577E4E" w:rsidRPr="00577E4E" w14:paraId="55E1E3E0" w14:textId="77777777">
                          <w:trPr>
                            <w:trHeight w:val="15"/>
                            <w:tblCellSpacing w:w="0" w:type="dxa"/>
                            <w:jc w:val="center"/>
                          </w:trPr>
                          <w:tc>
                            <w:tcPr>
                              <w:tcW w:w="0" w:type="auto"/>
                              <w:tcBorders>
                                <w:bottom w:val="nil"/>
                              </w:tcBorders>
                              <w:shd w:val="clear" w:color="auto" w:fill="101E3B"/>
                              <w:vAlign w:val="center"/>
                              <w:hideMark/>
                            </w:tcPr>
                            <w:p w14:paraId="6A262EE5"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kern w:val="0"/>
                                  <w:sz w:val="24"/>
                                  <w:szCs w:val="24"/>
                                  <w14:ligatures w14:val="none"/>
                                </w:rPr>
                                <w:drawing>
                                  <wp:inline distT="0" distB="0" distL="0" distR="0" wp14:anchorId="5D99A395" wp14:editId="6A25609F">
                                    <wp:extent cx="44450" cy="6350"/>
                                    <wp:effectExtent l="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5EFFCAA"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5250C876"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7B5ED798"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577E4E" w:rsidRPr="00577E4E" w14:paraId="19AD98FC"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67F69C8D" w14:textId="77777777">
                    <w:trPr>
                      <w:tblCellSpacing w:w="0" w:type="dxa"/>
                      <w:jc w:val="center"/>
                    </w:trPr>
                    <w:tc>
                      <w:tcPr>
                        <w:tcW w:w="0" w:type="auto"/>
                        <w:tcMar>
                          <w:top w:w="150" w:type="dxa"/>
                          <w:left w:w="300" w:type="dxa"/>
                          <w:bottom w:w="150" w:type="dxa"/>
                          <w:right w:w="300" w:type="dxa"/>
                        </w:tcMar>
                        <w:hideMark/>
                      </w:tcPr>
                      <w:p w14:paraId="0081DBAF"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r w:rsidRPr="00577E4E">
                          <w:rPr>
                            <w:rFonts w:ascii="Arial" w:eastAsia="Times New Roman" w:hAnsi="Arial" w:cs="Arial"/>
                            <w:color w:val="000000"/>
                            <w:kern w:val="0"/>
                            <w:sz w:val="27"/>
                            <w:szCs w:val="27"/>
                            <w:bdr w:val="none" w:sz="0" w:space="0" w:color="auto" w:frame="1"/>
                            <w14:ligatures w14:val="none"/>
                          </w:rPr>
                          <w:lastRenderedPageBreak/>
                          <w:t>The Office of the People's Counsel, 655 15th Street NW, Suite 200 Washington, DC 20005 | Tel: (202) 727-3071 | Fax: (202) 727-1014 | TTY-TTD: (202) 727-2876</w:t>
                        </w:r>
                      </w:p>
                      <w:p w14:paraId="10D57503" w14:textId="77777777" w:rsidR="00577E4E" w:rsidRPr="00577E4E" w:rsidRDefault="00577E4E" w:rsidP="00577E4E">
                        <w:pPr>
                          <w:spacing w:after="0" w:line="240" w:lineRule="auto"/>
                          <w:jc w:val="center"/>
                          <w:rPr>
                            <w:rFonts w:ascii="Arial" w:eastAsia="Times New Roman" w:hAnsi="Arial" w:cs="Arial"/>
                            <w:color w:val="000000"/>
                            <w:kern w:val="0"/>
                            <w:sz w:val="24"/>
                            <w:szCs w:val="24"/>
                            <w14:ligatures w14:val="none"/>
                          </w:rPr>
                        </w:pPr>
                        <w:hyperlink r:id="rId42" w:tgtFrame="_blank" w:history="1">
                          <w:r w:rsidRPr="00577E4E">
                            <w:rPr>
                              <w:rFonts w:ascii="Arial" w:eastAsia="Times New Roman" w:hAnsi="Arial" w:cs="Arial"/>
                              <w:color w:val="000000"/>
                              <w:kern w:val="0"/>
                              <w:sz w:val="27"/>
                              <w:szCs w:val="27"/>
                              <w:u w:val="single"/>
                              <w:bdr w:val="none" w:sz="0" w:space="0" w:color="auto" w:frame="1"/>
                              <w14:ligatures w14:val="none"/>
                            </w:rPr>
                            <w:t>www.opc-dc.gov</w:t>
                          </w:r>
                        </w:hyperlink>
                        <w:r w:rsidRPr="00577E4E">
                          <w:rPr>
                            <w:rFonts w:ascii="Arial" w:eastAsia="Times New Roman" w:hAnsi="Arial" w:cs="Arial"/>
                            <w:color w:val="000000"/>
                            <w:kern w:val="0"/>
                            <w:sz w:val="27"/>
                            <w:szCs w:val="27"/>
                            <w:bdr w:val="none" w:sz="0" w:space="0" w:color="auto" w:frame="1"/>
                            <w14:ligatures w14:val="none"/>
                          </w:rPr>
                          <w:t> | </w:t>
                        </w:r>
                        <w:hyperlink r:id="rId43" w:tgtFrame="_blank" w:history="1">
                          <w:r w:rsidRPr="00577E4E">
                            <w:rPr>
                              <w:rFonts w:ascii="Arial" w:eastAsia="Times New Roman" w:hAnsi="Arial" w:cs="Arial"/>
                              <w:color w:val="000000"/>
                              <w:kern w:val="0"/>
                              <w:sz w:val="27"/>
                              <w:szCs w:val="27"/>
                              <w:u w:val="single"/>
                              <w:bdr w:val="none" w:sz="0" w:space="0" w:color="auto" w:frame="1"/>
                              <w14:ligatures w14:val="none"/>
                            </w:rPr>
                            <w:t>info@opc-dc.gov</w:t>
                          </w:r>
                        </w:hyperlink>
                      </w:p>
                    </w:tc>
                  </w:tr>
                </w:tbl>
                <w:p w14:paraId="7AE0B5DB"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33D2A9EE" w14:textId="77777777" w:rsidR="00577E4E" w:rsidRPr="00577E4E" w:rsidRDefault="00577E4E" w:rsidP="00577E4E">
            <w:pPr>
              <w:spacing w:after="0" w:line="240" w:lineRule="auto"/>
              <w:jc w:val="center"/>
              <w:rPr>
                <w:rFonts w:ascii="Segoe UI" w:eastAsia="Times New Roman" w:hAnsi="Segoe UI" w:cs="Segoe UI"/>
                <w:vanish/>
                <w:color w:val="242424"/>
                <w:kern w:val="0"/>
                <w:sz w:val="23"/>
                <w:szCs w:val="23"/>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577E4E" w:rsidRPr="00577E4E" w14:paraId="27117421"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7A3D4604" w14:textId="77777777">
                    <w:trPr>
                      <w:tblCellSpacing w:w="0" w:type="dxa"/>
                      <w:jc w:val="center"/>
                    </w:trPr>
                    <w:tc>
                      <w:tcPr>
                        <w:tcW w:w="0" w:type="auto"/>
                        <w:tcMar>
                          <w:top w:w="150" w:type="dxa"/>
                          <w:left w:w="300" w:type="dxa"/>
                          <w:bottom w:w="150" w:type="dxa"/>
                          <w:right w:w="300" w:type="dxa"/>
                        </w:tcMar>
                        <w:hideMark/>
                      </w:tcPr>
                      <w:p w14:paraId="33CDD3A6" w14:textId="77777777" w:rsidR="00577E4E" w:rsidRPr="00577E4E" w:rsidRDefault="00577E4E" w:rsidP="00577E4E">
                        <w:pPr>
                          <w:spacing w:after="0" w:line="240" w:lineRule="auto"/>
                          <w:jc w:val="center"/>
                          <w:textAlignment w:val="baseline"/>
                          <w:rPr>
                            <w:rFonts w:ascii="Arial" w:eastAsia="Times New Roman" w:hAnsi="Arial" w:cs="Arial"/>
                            <w:color w:val="000000"/>
                            <w:kern w:val="0"/>
                            <w:sz w:val="24"/>
                            <w:szCs w:val="24"/>
                            <w14:ligatures w14:val="none"/>
                          </w:rPr>
                        </w:pPr>
                        <w:r w:rsidRPr="00577E4E">
                          <w:rPr>
                            <w:rFonts w:ascii="inherit" w:eastAsia="Times New Roman" w:hAnsi="inherit" w:cs="Arial"/>
                            <w:b/>
                            <w:bCs/>
                            <w:color w:val="000000"/>
                            <w:kern w:val="0"/>
                            <w:sz w:val="24"/>
                            <w:szCs w:val="24"/>
                            <w:bdr w:val="none" w:sz="0" w:space="0" w:color="auto" w:frame="1"/>
                            <w14:ligatures w14:val="none"/>
                          </w:rPr>
                          <w:t>STAY CONNECTED</w:t>
                        </w:r>
                      </w:p>
                    </w:tc>
                  </w:tr>
                </w:tbl>
                <w:p w14:paraId="1BB408EF" w14:textId="77777777" w:rsidR="00577E4E" w:rsidRPr="00577E4E" w:rsidRDefault="00577E4E" w:rsidP="00577E4E">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77E4E" w:rsidRPr="00577E4E" w14:paraId="50DA9FEC" w14:textId="77777777">
                    <w:trPr>
                      <w:trHeight w:val="15"/>
                      <w:tblCellSpacing w:w="0" w:type="dxa"/>
                      <w:jc w:val="center"/>
                    </w:trPr>
                    <w:tc>
                      <w:tcPr>
                        <w:tcW w:w="5000" w:type="pct"/>
                        <w:tcMar>
                          <w:top w:w="150" w:type="dxa"/>
                          <w:left w:w="300" w:type="dxa"/>
                          <w:bottom w:w="150" w:type="dxa"/>
                          <w:right w:w="300" w:type="dxa"/>
                        </w:tcMar>
                        <w:hideMark/>
                      </w:tcPr>
                      <w:p w14:paraId="64C76781" w14:textId="77777777" w:rsidR="00577E4E" w:rsidRPr="00577E4E" w:rsidRDefault="00577E4E" w:rsidP="00577E4E">
                        <w:pPr>
                          <w:spacing w:after="0" w:line="15" w:lineRule="atLeast"/>
                          <w:jc w:val="center"/>
                          <w:rPr>
                            <w:rFonts w:ascii="Times New Roman" w:eastAsia="Times New Roman" w:hAnsi="Times New Roman" w:cs="Times New Roman"/>
                            <w:kern w:val="0"/>
                            <w:sz w:val="24"/>
                            <w:szCs w:val="24"/>
                            <w14:ligatures w14:val="none"/>
                          </w:rPr>
                        </w:pPr>
                        <w:r w:rsidRPr="00577E4E">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36F89744" wp14:editId="79CFEDEE">
                              <wp:extent cx="304800" cy="304800"/>
                              <wp:effectExtent l="0" t="0" r="0" b="0"/>
                              <wp:docPr id="43" name="Picture 4" descr="Facebook">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acebook">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77E4E">
                          <w:rPr>
                            <w:rFonts w:ascii="Times New Roman" w:eastAsia="Times New Roman" w:hAnsi="Times New Roman" w:cs="Times New Roman"/>
                            <w:kern w:val="0"/>
                            <w:sz w:val="24"/>
                            <w:szCs w:val="24"/>
                            <w14:ligatures w14:val="none"/>
                          </w:rPr>
                          <w:t>  </w:t>
                        </w:r>
                        <w:r w:rsidRPr="00577E4E">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38E7C8AF" wp14:editId="2F0AB9EB">
                              <wp:extent cx="304800" cy="304800"/>
                              <wp:effectExtent l="0" t="0" r="0" b="0"/>
                              <wp:docPr id="44" name="Picture 3" descr="Twitter">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witter">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77E4E">
                          <w:rPr>
                            <w:rFonts w:ascii="Times New Roman" w:eastAsia="Times New Roman" w:hAnsi="Times New Roman" w:cs="Times New Roman"/>
                            <w:kern w:val="0"/>
                            <w:sz w:val="24"/>
                            <w:szCs w:val="24"/>
                            <w14:ligatures w14:val="none"/>
                          </w:rPr>
                          <w:t>  </w:t>
                        </w:r>
                        <w:r w:rsidRPr="00577E4E">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498B25C4" wp14:editId="7A34AF49">
                              <wp:extent cx="304800" cy="304800"/>
                              <wp:effectExtent l="0" t="0" r="0" b="0"/>
                              <wp:docPr id="45" name="Picture 2" descr="Instagram">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stagram">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77E4E">
                          <w:rPr>
                            <w:rFonts w:ascii="Times New Roman" w:eastAsia="Times New Roman" w:hAnsi="Times New Roman" w:cs="Times New Roman"/>
                            <w:kern w:val="0"/>
                            <w:sz w:val="24"/>
                            <w:szCs w:val="24"/>
                            <w14:ligatures w14:val="none"/>
                          </w:rPr>
                          <w:t>  </w:t>
                        </w:r>
                        <w:r w:rsidRPr="00577E4E">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5235709D" wp14:editId="672E22DB">
                              <wp:extent cx="304800" cy="304800"/>
                              <wp:effectExtent l="0" t="0" r="0" b="0"/>
                              <wp:docPr id="46" name="Picture 1" descr="Youtube">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outube">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77E4E">
                          <w:rPr>
                            <w:rFonts w:ascii="Times New Roman" w:eastAsia="Times New Roman" w:hAnsi="Times New Roman" w:cs="Times New Roman"/>
                            <w:kern w:val="0"/>
                            <w:sz w:val="24"/>
                            <w:szCs w:val="24"/>
                            <w14:ligatures w14:val="none"/>
                          </w:rPr>
                          <w:t>  </w:t>
                        </w:r>
                      </w:p>
                    </w:tc>
                  </w:tr>
                </w:tbl>
                <w:p w14:paraId="6E35F553" w14:textId="77777777" w:rsidR="00577E4E" w:rsidRPr="00577E4E" w:rsidRDefault="00577E4E" w:rsidP="00577E4E">
                  <w:pPr>
                    <w:spacing w:after="0" w:line="240" w:lineRule="auto"/>
                    <w:jc w:val="center"/>
                    <w:rPr>
                      <w:rFonts w:ascii="Times New Roman" w:eastAsia="Times New Roman" w:hAnsi="Times New Roman" w:cs="Times New Roman"/>
                      <w:kern w:val="0"/>
                      <w:sz w:val="24"/>
                      <w:szCs w:val="24"/>
                      <w14:ligatures w14:val="none"/>
                    </w:rPr>
                  </w:pPr>
                </w:p>
              </w:tc>
            </w:tr>
          </w:tbl>
          <w:p w14:paraId="63A0DCF2" w14:textId="77777777" w:rsidR="00577E4E" w:rsidRPr="00577E4E" w:rsidRDefault="00577E4E" w:rsidP="00577E4E">
            <w:pPr>
              <w:spacing w:after="0" w:line="240" w:lineRule="auto"/>
              <w:jc w:val="center"/>
              <w:rPr>
                <w:rFonts w:ascii="Segoe UI" w:eastAsia="Times New Roman" w:hAnsi="Segoe UI" w:cs="Segoe UI"/>
                <w:color w:val="242424"/>
                <w:kern w:val="0"/>
                <w:sz w:val="23"/>
                <w:szCs w:val="23"/>
                <w14:ligatures w14:val="none"/>
              </w:rPr>
            </w:pPr>
          </w:p>
        </w:tc>
      </w:tr>
    </w:tbl>
    <w:p w14:paraId="6FCC5075" w14:textId="77777777" w:rsidR="003F115A" w:rsidRDefault="003F115A"/>
    <w:sectPr w:rsidR="003F11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E4E"/>
    <w:rsid w:val="003F115A"/>
    <w:rsid w:val="00577E4E"/>
    <w:rsid w:val="00A73CCA"/>
    <w:rsid w:val="00F97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AB639A"/>
  <w15:chartTrackingRefBased/>
  <w15:docId w15:val="{F8D48DE0-85A1-4F4C-955D-D89A225C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7E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7E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7E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7E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7E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7E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7E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7E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7E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E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7E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7E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7E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7E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7E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7E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7E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7E4E"/>
    <w:rPr>
      <w:rFonts w:eastAsiaTheme="majorEastAsia" w:cstheme="majorBidi"/>
      <w:color w:val="272727" w:themeColor="text1" w:themeTint="D8"/>
    </w:rPr>
  </w:style>
  <w:style w:type="paragraph" w:styleId="Title">
    <w:name w:val="Title"/>
    <w:basedOn w:val="Normal"/>
    <w:next w:val="Normal"/>
    <w:link w:val="TitleChar"/>
    <w:uiPriority w:val="10"/>
    <w:qFormat/>
    <w:rsid w:val="00577E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7E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7E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7E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7E4E"/>
    <w:pPr>
      <w:spacing w:before="160"/>
      <w:jc w:val="center"/>
    </w:pPr>
    <w:rPr>
      <w:i/>
      <w:iCs/>
      <w:color w:val="404040" w:themeColor="text1" w:themeTint="BF"/>
    </w:rPr>
  </w:style>
  <w:style w:type="character" w:customStyle="1" w:styleId="QuoteChar">
    <w:name w:val="Quote Char"/>
    <w:basedOn w:val="DefaultParagraphFont"/>
    <w:link w:val="Quote"/>
    <w:uiPriority w:val="29"/>
    <w:rsid w:val="00577E4E"/>
    <w:rPr>
      <w:i/>
      <w:iCs/>
      <w:color w:val="404040" w:themeColor="text1" w:themeTint="BF"/>
    </w:rPr>
  </w:style>
  <w:style w:type="paragraph" w:styleId="ListParagraph">
    <w:name w:val="List Paragraph"/>
    <w:basedOn w:val="Normal"/>
    <w:uiPriority w:val="34"/>
    <w:qFormat/>
    <w:rsid w:val="00577E4E"/>
    <w:pPr>
      <w:ind w:left="720"/>
      <w:contextualSpacing/>
    </w:pPr>
  </w:style>
  <w:style w:type="character" w:styleId="IntenseEmphasis">
    <w:name w:val="Intense Emphasis"/>
    <w:basedOn w:val="DefaultParagraphFont"/>
    <w:uiPriority w:val="21"/>
    <w:qFormat/>
    <w:rsid w:val="00577E4E"/>
    <w:rPr>
      <w:i/>
      <w:iCs/>
      <w:color w:val="2F5496" w:themeColor="accent1" w:themeShade="BF"/>
    </w:rPr>
  </w:style>
  <w:style w:type="paragraph" w:styleId="IntenseQuote">
    <w:name w:val="Intense Quote"/>
    <w:basedOn w:val="Normal"/>
    <w:next w:val="Normal"/>
    <w:link w:val="IntenseQuoteChar"/>
    <w:uiPriority w:val="30"/>
    <w:qFormat/>
    <w:rsid w:val="00577E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7E4E"/>
    <w:rPr>
      <w:i/>
      <w:iCs/>
      <w:color w:val="2F5496" w:themeColor="accent1" w:themeShade="BF"/>
    </w:rPr>
  </w:style>
  <w:style w:type="character" w:styleId="IntenseReference">
    <w:name w:val="Intense Reference"/>
    <w:basedOn w:val="DefaultParagraphFont"/>
    <w:uiPriority w:val="32"/>
    <w:qFormat/>
    <w:rsid w:val="00577E4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4669774">
      <w:bodyDiv w:val="1"/>
      <w:marLeft w:val="0"/>
      <w:marRight w:val="0"/>
      <w:marTop w:val="0"/>
      <w:marBottom w:val="0"/>
      <w:divBdr>
        <w:top w:val="none" w:sz="0" w:space="0" w:color="auto"/>
        <w:left w:val="none" w:sz="0" w:space="0" w:color="auto"/>
        <w:bottom w:val="none" w:sz="0" w:space="0" w:color="auto"/>
        <w:right w:val="none" w:sz="0" w:space="0" w:color="auto"/>
      </w:divBdr>
      <w:divsChild>
        <w:div w:id="1657496294">
          <w:marLeft w:val="0"/>
          <w:marRight w:val="0"/>
          <w:marTop w:val="0"/>
          <w:marBottom w:val="0"/>
          <w:divBdr>
            <w:top w:val="none" w:sz="0" w:space="0" w:color="auto"/>
            <w:left w:val="none" w:sz="0" w:space="0" w:color="auto"/>
            <w:bottom w:val="none" w:sz="0" w:space="0" w:color="auto"/>
            <w:right w:val="none" w:sz="0" w:space="0" w:color="auto"/>
          </w:divBdr>
        </w:div>
        <w:div w:id="15500244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779727">
          <w:marLeft w:val="0"/>
          <w:marRight w:val="0"/>
          <w:marTop w:val="0"/>
          <w:marBottom w:val="0"/>
          <w:divBdr>
            <w:top w:val="none" w:sz="0" w:space="0" w:color="auto"/>
            <w:left w:val="none" w:sz="0" w:space="0" w:color="auto"/>
            <w:bottom w:val="none" w:sz="0" w:space="0" w:color="auto"/>
            <w:right w:val="none" w:sz="0" w:space="0" w:color="auto"/>
          </w:divBdr>
        </w:div>
        <w:div w:id="714475067">
          <w:marLeft w:val="0"/>
          <w:marRight w:val="0"/>
          <w:marTop w:val="0"/>
          <w:marBottom w:val="0"/>
          <w:divBdr>
            <w:top w:val="none" w:sz="0" w:space="0" w:color="auto"/>
            <w:left w:val="none" w:sz="0" w:space="0" w:color="auto"/>
            <w:bottom w:val="none" w:sz="0" w:space="0" w:color="auto"/>
            <w:right w:val="none" w:sz="0" w:space="0" w:color="auto"/>
          </w:divBdr>
        </w:div>
        <w:div w:id="2075932717">
          <w:marLeft w:val="0"/>
          <w:marRight w:val="0"/>
          <w:marTop w:val="0"/>
          <w:marBottom w:val="0"/>
          <w:divBdr>
            <w:top w:val="none" w:sz="0" w:space="0" w:color="auto"/>
            <w:left w:val="none" w:sz="0" w:space="0" w:color="auto"/>
            <w:bottom w:val="none" w:sz="0" w:space="0" w:color="auto"/>
            <w:right w:val="none" w:sz="0" w:space="0" w:color="auto"/>
          </w:divBdr>
          <w:divsChild>
            <w:div w:id="8067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opc-dc.gov" TargetMode="External"/><Relationship Id="rId18" Type="http://schemas.openxmlformats.org/officeDocument/2006/relationships/image" Target="media/image9.jpeg"/><Relationship Id="rId26" Type="http://schemas.openxmlformats.org/officeDocument/2006/relationships/hyperlink" Target="https://pdcmwrdab.cc.rs6.net/tn.jsp?f=001C-BZ5ZdgElyn8F_fCwBuhylaYRBurJU5D1-j-2iRSLTi4SWRAo_yaZU0tXT0lw0NUcUYuge-PKeYb5R6ADXxb0Kew7Nb1VjOSwhF_Tc3iv3VTGamudH77PPo_VstsNAkNGS_iImy82W67vWF7CE51mRRZsUHVPxod0GeGZH2Zq2WTk38TLLzECU_-fCv9u3cKu99hDgdcI5B2PRcwxF-BRcSq0zSjoUeKvU79GIuIqMLnZodKuzIjQ==&amp;c=U3S9k33GBzptg34Sec_fBPvxO2lRrRgD1CkGr_ECF8zJWk7E7xhyjg==&amp;ch=z_6m2H2CBXHkfbDRAgK6_QFVJM8qN9Y_6iQ4ij1Z1CBuVflpBOYu_A==" TargetMode="External"/><Relationship Id="rId39" Type="http://schemas.openxmlformats.org/officeDocument/2006/relationships/image" Target="media/image20.png"/><Relationship Id="rId21" Type="http://schemas.openxmlformats.org/officeDocument/2006/relationships/hyperlink" Target="https://pdcmwrdab.cc.rs6.net/tn.jsp?f=001C-BZ5ZdgElyn8F_fCwBuhylaYRBurJU5D1-j-2iRSLTi4SWRAo_yaXsE46hbaPaZWBI28aE29w4rhrUaAZD9NGDuJYmEn6sJ73VhHNqjF6W0NuMLnFcjKnUJKVcvtR-SYaTN2EUJpsoBAbjEojAg-6LKv9nTySwT&amp;c=U3S9k33GBzptg34Sec_fBPvxO2lRrRgD1CkGr_ECF8zJWk7E7xhyjg==&amp;ch=z_6m2H2CBXHkfbDRAgK6_QFVJM8qN9Y_6iQ4ij1Z1CBuVflpBOYu_A==" TargetMode="External"/><Relationship Id="rId34" Type="http://schemas.openxmlformats.org/officeDocument/2006/relationships/image" Target="media/image15.jpeg"/><Relationship Id="rId42" Type="http://schemas.openxmlformats.org/officeDocument/2006/relationships/hyperlink" Target="https://r20.rs6.net/tn.jsp?f=0011bi2AXmbTNia2POPE8Thx66z0UW40UrNB7Y9n3iID4UlcVP0y-Tjb2kjSk0Qxw3k60rFow-ULRxcQi4BuZpW1gVXLtC3ZMUCfHRmBRYtOSJF1gYkRPmPrVxg1buRTWrBbnn9IrNtkqDVZPruyiapM0ILLslZZKsTapThaeKxBv8=&amp;c=AXxFWOzZphDTT347Ce8miLzzyWOw7FV_G8XVstjyHgCy-7O1K7wGvA==&amp;ch=QFOmhamG9hT24NVJm8b0RXQt3hAwkOd-HwM_4KVYOJwNxeKcb-DIkA==" TargetMode="External"/><Relationship Id="rId47" Type="http://schemas.openxmlformats.org/officeDocument/2006/relationships/image" Target="media/image22.png"/><Relationship Id="rId50" Type="http://schemas.openxmlformats.org/officeDocument/2006/relationships/hyperlink" Target="https://pdcmwrdab.cc.rs6.net/tn.jsp?f=001C-BZ5ZdgElyn8F_fCwBuhylaYRBurJU5D1-j-2iRSLTi4SWRAo_yaTzX46XsiVfwQdJkY0n4P8zAziLB9lp7u3ITBqA5PDLfLpM7-V45qQM5-MfoWC1Y8CFwKtJ1f-Cu451rjPc2fIq0TmghDsbgrv0IPUxM_elM-ZGXXjc4eM7yBodTKfGUiOdwaX8nF-DksuKkEbu4Ly4=&amp;c=U3S9k33GBzptg34Sec_fBPvxO2lRrRgD1CkGr_ECF8zJWk7E7xhyjg==&amp;ch=z_6m2H2CBXHkfbDRAgK6_QFVJM8qN9Y_6iQ4ij1Z1CBuVflpBOYu_A==" TargetMode="External"/><Relationship Id="rId7" Type="http://schemas.openxmlformats.org/officeDocument/2006/relationships/image" Target="media/image3.gif"/><Relationship Id="rId2" Type="http://schemas.openxmlformats.org/officeDocument/2006/relationships/settings" Target="settings.xml"/><Relationship Id="rId16" Type="http://schemas.openxmlformats.org/officeDocument/2006/relationships/hyperlink" Target="https://pdcmwrdab.cc.rs6.net/tn.jsp?f=001C-BZ5ZdgElyn8F_fCwBuhylaYRBurJU5D1-j-2iRSLTi4SWRAo_yaZU0tXT0lw0N3mkbmOXfPcSERI4YMsuk21RTvTCGB0pMJEZNnMGsmg5KHyleUPj73d3ccu8evV8reu6h85kUXVEpiMAMaq2hrA==&amp;c=U3S9k33GBzptg34Sec_fBPvxO2lRrRgD1CkGr_ECF8zJWk7E7xhyjg==&amp;ch=z_6m2H2CBXHkfbDRAgK6_QFVJM8qN9Y_6iQ4ij1Z1CBuVflpBOYu_A==" TargetMode="External"/><Relationship Id="rId29" Type="http://schemas.openxmlformats.org/officeDocument/2006/relationships/image" Target="media/image11.jpeg"/><Relationship Id="rId11" Type="http://schemas.openxmlformats.org/officeDocument/2006/relationships/hyperlink" Target="https://pdcmwrdab.cc.rs6.net/tn.jsp?f=001C-BZ5ZdgElyn8F_fCwBuhylaYRBurJU5D1-j-2iRSLTi4SWRAo_yaZU0tXT0lw0NjNJMeb4wDMPSBjoAnuPc19dwyOPgK-OdTQGGr28oxWepLEVFMSD-IKrfLAwPbyaj_VrJ1-5twgWUWyre-7b0SD3SYBHBIta0FIVvhluehlY=&amp;c=U3S9k33GBzptg34Sec_fBPvxO2lRrRgD1CkGr_ECF8zJWk7E7xhyjg==&amp;ch=z_6m2H2CBXHkfbDRAgK6_QFVJM8qN9Y_6iQ4ij1Z1CBuVflpBOYu_A==" TargetMode="External"/><Relationship Id="rId24" Type="http://schemas.openxmlformats.org/officeDocument/2006/relationships/hyperlink" Target="https://pdcmwrdab.cc.rs6.net/tn.jsp?f=001C-BZ5ZdgElyn8F_fCwBuhylaYRBurJU5D1-j-2iRSLTi4SWRAo_yaZU0tXT0lw0N9vVza8-helRbs5Hgib_kOYVi31rhU_HjIKOdITKmONIuSVEd5w8aN8CSlnJEFosIfHUbBSbll82mocEEI8PDPA==&amp;c=U3S9k33GBzptg34Sec_fBPvxO2lRrRgD1CkGr_ECF8zJWk7E7xhyjg==&amp;ch=z_6m2H2CBXHkfbDRAgK6_QFVJM8qN9Y_6iQ4ij1Z1CBuVflpBOYu_A=="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mailto:info@opc-dc.gov" TargetMode="External"/><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hyperlink" Target="https://pdcmwrdab.cc.rs6.net/tn.jsp?f=001C-BZ5ZdgElyn8F_fCwBuhylaYRBurJU5D1-j-2iRSLTi4SWRAo_yaZU0tXT0lw0NHOucMCp5ExB7TR-O-uftrJh7sWJKU_r_txLNCpTt7fkss-aHGr9HAsxWvbso9t2NoNw4laqqrJ0J7zDvbr9hsJY_aiqcVLy3abQbLJSrcVM=&amp;c=U3S9k33GBzptg34Sec_fBPvxO2lRrRgD1CkGr_ECF8zJWk7E7xhyjg==&amp;ch=z_6m2H2CBXHkfbDRAgK6_QFVJM8qN9Y_6iQ4ij1Z1CBuVflpBOYu_A==" TargetMode="External"/><Relationship Id="rId19" Type="http://schemas.openxmlformats.org/officeDocument/2006/relationships/hyperlink" Target="https://pdcmwrdab.cc.rs6.net/tn.jsp?f=001C-BZ5ZdgElyn8F_fCwBuhylaYRBurJU5D1-j-2iRSLTi4SWRAo_yaZU0tXT0lw0Nd1KXGM_H2WIU7yzBDLZ-s-51JlfmMHiBhtb7MHuvIiiGTIboBwPQ0tn3Yit725PZcT3aj8H8XrrNXDPoMEHm82ZR6lH8AD5PJKQVCpIghPa9cVticKWhUg==&amp;c=U3S9k33GBzptg34Sec_fBPvxO2lRrRgD1CkGr_ECF8zJWk7E7xhyjg==&amp;ch=z_6m2H2CBXHkfbDRAgK6_QFVJM8qN9Y_6iQ4ij1Z1CBuVflpBOYu_A==" TargetMode="External"/><Relationship Id="rId31" Type="http://schemas.openxmlformats.org/officeDocument/2006/relationships/image" Target="media/image12.jpeg"/><Relationship Id="rId44" Type="http://schemas.openxmlformats.org/officeDocument/2006/relationships/hyperlink" Target="https://pdcmwrdab.cc.rs6.net/tn.jsp?f=001C-BZ5ZdgElyn8F_fCwBuhylaYRBurJU5D1-j-2iRSLTi4SWRAo_yabJy6OJ20li-perx-W6XKW5SG5Ss5zyEm7mVtzEy34oGHDU34MnT4D-1E3jPrVm_GmCz7DH1WWUcTl7Jyln3cnZsR9PNbMANtCyJN-AhpstQPbbdm7-7vsblbfGdJACztQ==&amp;c=U3S9k33GBzptg34Sec_fBPvxO2lRrRgD1CkGr_ECF8zJWk7E7xhyjg==&amp;ch=z_6m2H2CBXHkfbDRAgK6_QFVJM8qN9Y_6iQ4ij1Z1CBuVflpBOYu_A==" TargetMode="External"/><Relationship Id="rId52" Type="http://schemas.openxmlformats.org/officeDocument/2006/relationships/fontTable" Target="fontTable.xml"/><Relationship Id="rId4" Type="http://schemas.openxmlformats.org/officeDocument/2006/relationships/hyperlink" Target="https://pdcmwrdab.cc.rs6.net/tn.jsp?f=001C-BZ5ZdgElyn8F_fCwBuhylaYRBurJU5D1-j-2iRSLTi4SWRAo_yaRzHhqZeMl8Wp4Es8oWastZPACnBWjfDyC4ytSdnLEL9d3LzsV-Zbg_jFgQvxiTbrPA4BHbA2wQQONKNQ_VujmARkupix7bG7A==&amp;c=U3S9k33GBzptg34Sec_fBPvxO2lRrRgD1CkGr_ECF8zJWk7E7xhyjg==&amp;ch=z_6m2H2CBXHkfbDRAgK6_QFVJM8qN9Y_6iQ4ij1Z1CBuVflpBOYu_A==" TargetMode="External"/><Relationship Id="rId9" Type="http://schemas.openxmlformats.org/officeDocument/2006/relationships/image" Target="media/image5.jpeg"/><Relationship Id="rId14" Type="http://schemas.openxmlformats.org/officeDocument/2006/relationships/image" Target="media/image6.jpeg"/><Relationship Id="rId22" Type="http://schemas.openxmlformats.org/officeDocument/2006/relationships/hyperlink" Target="https://pdcmwrdab.cc.rs6.net/tn.jsp?f=001C-BZ5ZdgElyn8F_fCwBuhylaYRBurJU5D1-j-2iRSLTi4SWRAo_yaXsE46hbaPaZWBI28aE29w4rhrUaAZD9NGDuJYmEn6sJ73VhHNqjF6W0NuMLnFcjKnUJKVcvtR-SYaTN2EUJpsoBAbjEojAg-6LKv9nTySwT&amp;c=U3S9k33GBzptg34Sec_fBPvxO2lRrRgD1CkGr_ECF8zJWk7E7xhyjg==&amp;ch=z_6m2H2CBXHkfbDRAgK6_QFVJM8qN9Y_6iQ4ij1Z1CBuVflpBOYu_A==" TargetMode="External"/><Relationship Id="rId27" Type="http://schemas.openxmlformats.org/officeDocument/2006/relationships/hyperlink" Target="https://pdcmwrdab.cc.rs6.net/tn.jsp?f=001C-BZ5ZdgElyn8F_fCwBuhylaYRBurJU5D1-j-2iRSLTi4SWRAo_yaZU0tXT0lw0N3DFrWBKiTdWqMyrZAA28-pZXh5IEyXj64EKimFsb8unDAo4a3q1T8P-B68LustfGKHvnzERaTW0op8yD_I_5YH4omd_-5QaODYg6QnfmOQAZZ-cRv511PgKt1e_ldmD05Dz0MUPMvBYGkWRrWcVWR1qYBv_4-z5T9WyOy1WVkcO94LK3bJJdIw==&amp;c=U3S9k33GBzptg34Sec_fBPvxO2lRrRgD1CkGr_ECF8zJWk7E7xhyjg==&amp;ch=z_6m2H2CBXHkfbDRAgK6_QFVJM8qN9Y_6iQ4ij1Z1CBuVflpBOYu_A==" TargetMode="External"/><Relationship Id="rId30" Type="http://schemas.openxmlformats.org/officeDocument/2006/relationships/hyperlink" Target="https://pdcmwrdab.cc.rs6.net/tn.jsp?f=001C-BZ5ZdgElyn8F_fCwBuhylaYRBurJU5D1-j-2iRSLTi4SWRAo_yaZU0tXT0lw0NU6m2_wfHN1q8Yu7DhCRF-umV0_YpKiUt3wg54burTFMz_Oo_zrtUEWeLujqzJMYjgBJWR2JDa0HTV6aZ5bsJVcuyk8gkcqIsKqEY5s_bzvmW9f0gNSx_Hg==&amp;c=U3S9k33GBzptg34Sec_fBPvxO2lRrRgD1CkGr_ECF8zJWk7E7xhyjg==&amp;ch=z_6m2H2CBXHkfbDRAgK6_QFVJM8qN9Y_6iQ4ij1Z1CBuVflpBOYu_A==" TargetMode="External"/><Relationship Id="rId35" Type="http://schemas.openxmlformats.org/officeDocument/2006/relationships/image" Target="media/image16.jpeg"/><Relationship Id="rId43" Type="http://schemas.openxmlformats.org/officeDocument/2006/relationships/hyperlink" Target="https://r20.rs6.net/tn.jsp?f=0011bi2AXmbTNia2POPE8Thx66z0UW40UrNB7Y9n3iID4UlcVP0y-Tjb259CRer0WyXb_97UPDjc_JOzMef5YPSXm8TZNi2xmHp9znUPeSdSy-B8rXFwwMN_Z9lEWW1Shc2ezmDVxSa-Ccjg_b_hKF7cNyZoytx423jIURjqgvkRsw=&amp;c=AXxFWOzZphDTT347Ce8miLzzyWOw7FV_G8XVstjyHgCy-7O1K7wGvA==&amp;ch=QFOmhamG9hT24NVJm8b0RXQt3hAwkOd-HwM_4KVYOJwNxeKcb-DIkA==" TargetMode="External"/><Relationship Id="rId48" Type="http://schemas.openxmlformats.org/officeDocument/2006/relationships/hyperlink" Target="https://pdcmwrdab.cc.rs6.net/tn.jsp?f=001C-BZ5ZdgElyn8F_fCwBuhylaYRBurJU5D1-j-2iRSLTi4SWRAo_yaVUnAJ85_1sHXJwHB9W37QsM0HaEIJhTrO_9kPffUmrkXb1ZQYrcVRkdWZ1LhXwIKAKwiW-4P1__iCZkDfjBoe7f7Hflul0V4O0O4ZRyDHKYqPHtFjpE5uE=&amp;c=U3S9k33GBzptg34Sec_fBPvxO2lRrRgD1CkGr_ECF8zJWk7E7xhyjg==&amp;ch=z_6m2H2CBXHkfbDRAgK6_QFVJM8qN9Y_6iQ4ij1Z1CBuVflpBOYu_A==" TargetMode="External"/><Relationship Id="rId8" Type="http://schemas.openxmlformats.org/officeDocument/2006/relationships/image" Target="media/image4.gif"/><Relationship Id="rId51" Type="http://schemas.openxmlformats.org/officeDocument/2006/relationships/image" Target="media/image24.png"/><Relationship Id="rId3" Type="http://schemas.openxmlformats.org/officeDocument/2006/relationships/webSettings" Target="webSettings.xml"/><Relationship Id="rId12" Type="http://schemas.openxmlformats.org/officeDocument/2006/relationships/hyperlink" Target="https://pdcmwrdab.cc.rs6.net/tn.jsp?f=001C-BZ5ZdgElyn8F_fCwBuhylaYRBurJU5D1-j-2iRSLTi4SWRAo_yaZU0tXT0lw0N5YC1Irtfy3Q0VbnJ307k_mQ3fTzcumaGLrcfsYmJCGTYYY-sVGcQNb98tddKY69cQDWg9efm8HXu2FiJO9_9cPTnJMlUM0GuuG_oWeZg5_gS3Hmt6yirIg==&amp;c=U3S9k33GBzptg34Sec_fBPvxO2lRrRgD1CkGr_ECF8zJWk7E7xhyjg==&amp;ch=z_6m2H2CBXHkfbDRAgK6_QFVJM8qN9Y_6iQ4ij1Z1CBuVflpBOYu_A==" TargetMode="External"/><Relationship Id="rId17" Type="http://schemas.openxmlformats.org/officeDocument/2006/relationships/image" Target="media/image8.jpeg"/><Relationship Id="rId25" Type="http://schemas.openxmlformats.org/officeDocument/2006/relationships/hyperlink" Target="https://pdcmwrdab.cc.rs6.net/tn.jsp?f=001C-BZ5ZdgElyn8F_fCwBuhylaYRBurJU5D1-j-2iRSLTi4SWRAo_yaZU0tXT0lw0NPbd879xYCyTVQp5hDbWbEuKdWtr60L6TBwjvcrtmK17j5wccWI6bjJC3vuUbxSbHKCHZZd_ClK4jlA5NFSvPnAFYSud5yygzaGvkzvd0xlm7QooA9ZGBOg==&amp;c=U3S9k33GBzptg34Sec_fBPvxO2lRrRgD1CkGr_ECF8zJWk7E7xhyjg==&amp;ch=z_6m2H2CBXHkfbDRAgK6_QFVJM8qN9Y_6iQ4ij1Z1CBuVflpBOYu_A=="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pdcmwrdab.cc.rs6.net/tn.jsp?f=001C-BZ5ZdgElyn8F_fCwBuhylaYRBurJU5D1-j-2iRSLTi4SWRAo_yaVKwTDUZSFOQhPbe6EHB0iLOYl6Om88sSM-0gxnJgmh3xWZ1mEu_4xoawNLCPV9OXckfjMHB2m9YDgbMXCXUd3EOBC7XIisBMrUxxbI7bbEc&amp;c=U3S9k33GBzptg34Sec_fBPvxO2lRrRgD1CkGr_ECF8zJWk7E7xhyjg==&amp;ch=z_6m2H2CBXHkfbDRAgK6_QFVJM8qN9Y_6iQ4ij1Z1CBuVflpBOYu_A==" TargetMode="External"/><Relationship Id="rId20" Type="http://schemas.openxmlformats.org/officeDocument/2006/relationships/image" Target="media/image10.jpeg"/><Relationship Id="rId41" Type="http://schemas.openxmlformats.org/officeDocument/2006/relationships/hyperlink" Target="https://pdcmwrdab.cc.rs6.net/tn.jsp?f=001C-BZ5ZdgElyn8F_fCwBuhylaYRBurJU5D1-j-2iRSLTi4SWRAo_yacVRQz-Dt5nnQAc3zkfdCAUj8k-xpbQfinwl-E2R9M1_U1fiWd6LYGNpQXoZhYMptBTjhkCxZB6W_KJTNVbmLLyGdwEDCStjHjNEG-cutBsc&amp;c=U3S9k33GBzptg34Sec_fBPvxO2lRrRgD1CkGr_ECF8zJWk7E7xhyjg==&amp;ch=z_6m2H2CBXHkfbDRAgK6_QFVJM8qN9Y_6iQ4ij1Z1CBuVflpBOYu_A=="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s://pdcmwrdab.cc.rs6.net/tn.jsp?f=001C-BZ5ZdgElyn8F_fCwBuhylaYRBurJU5D1-j-2iRSLTi4SWRAo_yaZU0tXT0lw0N9vVza8-helRbs5Hgib_kOYVi31rhU_HjIKOdITKmONIuSVEd5w8aN8CSlnJEFosIfHUbBSbll82mocEEI8PDPA==&amp;c=U3S9k33GBzptg34Sec_fBPvxO2lRrRgD1CkGr_ECF8zJWk7E7xhyjg==&amp;ch=z_6m2H2CBXHkfbDRAgK6_QFVJM8qN9Y_6iQ4ij1Z1CBuVflpBOYu_A==" TargetMode="External"/><Relationship Id="rId28" Type="http://schemas.openxmlformats.org/officeDocument/2006/relationships/hyperlink" Target="https://pdcmwrdab.cc.rs6.net/tn.jsp?f=001C-BZ5ZdgElyn8F_fCwBuhylaYRBurJU5D1-j-2iRSLTi4SWRAo_yaZU0tXT0lw0N5aTJuPrQXvN0tmxyivtIoxpqV-GQUm4ySYAzMR7vQ5pWbtggcADA4VpUvb67YD8iDzK8QwS5OjBalTA2lHKYMDABCrOq6NtrnSqOHujYHx0=&amp;c=U3S9k33GBzptg34Sec_fBPvxO2lRrRgD1CkGr_ECF8zJWk7E7xhyjg==&amp;ch=z_6m2H2CBXHkfbDRAgK6_QFVJM8qN9Y_6iQ4ij1Z1CBuVflpBOYu_A==" TargetMode="External"/><Relationship Id="rId36" Type="http://schemas.openxmlformats.org/officeDocument/2006/relationships/image" Target="media/image17.png"/><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2981</Words>
  <Characters>23109</Characters>
  <Application>Microsoft Office Word</Application>
  <DocSecurity>0</DocSecurity>
  <Lines>796</Lines>
  <Paragraphs>176</Paragraphs>
  <ScaleCrop>false</ScaleCrop>
  <Company/>
  <LinksUpToDate>false</LinksUpToDate>
  <CharactersWithSpaces>25914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Quaneisha Glover</dc:creator>
  <cp:keywords/>
  <dc:description/>
  <cp:lastModifiedBy>Quaneisha Glover</cp:lastModifiedBy>
  <cp:revision>1</cp:revision>
  <dcterms:created xsi:type="dcterms:W3CDTF">2024-07-30T22:12:00Z</dcterms:created>
  <dcterms:modified xsi:type="dcterms:W3CDTF">2024-07-30T22:13:00Z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52e47988-bd9b-4725-b75b-16ea3a011caf</vt:lpwstr>
  </property>
</Properties>
</file>