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A1E7" w14:textId="77777777" w:rsidR="00DD215A" w:rsidRDefault="00753D6D">
      <w:pPr>
        <w:pStyle w:val="Heading1"/>
        <w:spacing w:before="79"/>
      </w:pPr>
      <w:r>
        <w:t>DETERMINATION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FINDINGS </w:t>
      </w:r>
      <w:r>
        <w:rPr>
          <w:spacing w:val="-4"/>
        </w:rPr>
        <w:t>FOR</w:t>
      </w:r>
    </w:p>
    <w:p w14:paraId="22EEA1E8" w14:textId="77777777" w:rsidR="00DD215A" w:rsidRDefault="00753D6D">
      <w:pPr>
        <w:ind w:left="2839" w:right="2840"/>
        <w:jc w:val="center"/>
        <w:rPr>
          <w:b/>
          <w:sz w:val="24"/>
        </w:rPr>
      </w:pPr>
      <w:r>
        <w:rPr>
          <w:b/>
          <w:sz w:val="24"/>
        </w:rPr>
        <w:t>SOLE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SOURCE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PROCUREMENT</w:t>
      </w:r>
    </w:p>
    <w:p w14:paraId="22EEA1E9" w14:textId="77777777" w:rsidR="00DD215A" w:rsidRDefault="00DD215A">
      <w:pPr>
        <w:pStyle w:val="BodyText"/>
        <w:rPr>
          <w:b/>
          <w:sz w:val="26"/>
        </w:rPr>
      </w:pPr>
    </w:p>
    <w:p w14:paraId="22EEA1EA" w14:textId="77777777" w:rsidR="00DD215A" w:rsidRDefault="00DD215A">
      <w:pPr>
        <w:pStyle w:val="BodyText"/>
        <w:spacing w:before="6"/>
        <w:rPr>
          <w:b/>
          <w:sz w:val="21"/>
        </w:rPr>
      </w:pPr>
    </w:p>
    <w:p w14:paraId="22EEA1EB" w14:textId="4840CEB7" w:rsidR="00DD215A" w:rsidRDefault="00284059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ind w:hanging="721"/>
        <w:rPr>
          <w:sz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22EEA226" wp14:editId="731A050E">
                <wp:simplePos x="0" y="0"/>
                <wp:positionH relativeFrom="page">
                  <wp:posOffset>2292350</wp:posOffset>
                </wp:positionH>
                <wp:positionV relativeFrom="paragraph">
                  <wp:posOffset>106045</wp:posOffset>
                </wp:positionV>
                <wp:extent cx="29210" cy="8890"/>
                <wp:effectExtent l="0" t="0" r="0" b="0"/>
                <wp:wrapNone/>
                <wp:docPr id="171754127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8A7F0F8" id="docshape1" o:spid="_x0000_s1026" style="position:absolute;margin-left:180.5pt;margin-top:8.35pt;width:2.3pt;height:.7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KH4wEAALEDAAAOAAAAZHJzL2Uyb0RvYy54bWysU9tu2zAMfR+wfxD0vjgOsi0x4hRFig4D&#10;ugvQ7QMYWbaFyaJGKXGyrx+lpGmwvhXzgyCK4tE55PHq5jBYsdcUDLpalpOpFNopbIzravnzx/27&#10;hRQhgmvAotO1POogb9Zv36xGX+kZ9mgbTYJBXKhGX8s+Rl8VRVC9HiBM0GvHyRZpgMghdUVDMDL6&#10;YIvZdPqhGJEaT6h0CHx6d0rKdcZvW63it7YNOgpbS+YW80p53aa1WK+g6gh8b9SZBryCxQDG8aMX&#10;qDuIIHZkXkANRhEGbONE4VBg2xqlswZWU07/UfPYg9dZCzcn+Eubwv+DVV/3j/47JerBP6D6FYTD&#10;TQ+u07dEOPYaGn6uTI0qRh+qS0EKApeK7fgFGx4t7CLmHhxaGhIgqxOH3OrjpdX6EIXiw9lyVvI8&#10;FGcWi2WeQwHVU6WnED9pHETa1JJ4jBkZ9g8hJiZQPV3JzNGa5t5YmwPqthtLYg9p5PnL5Fng9TXr&#10;0mWHqeyEmE6yxKQqGShUW2yOrJDw5Bv2OW96pD9SjOyZWobfOyAthf3suEvLcj5PJsvB/P3HGQd0&#10;ndleZ8AphqpllOK03cSTMXeeTNfzS2UW7fCWO9uaLPyZ1Zks+yL34+zhZLzrON96/tPWfwEAAP//&#10;AwBQSwMEFAAGAAgAAAAhAP2C9nDfAAAACQEAAA8AAABkcnMvZG93bnJldi54bWxMj8FOwzAQRO9I&#10;/IO1SNyok5aaEOJUFIkjEi0c6M2JlyRqvA6x2wa+nu0Jjjszmn1TrCbXiyOOofOkIZ0lIJBqbztq&#10;NLy/Pd9kIEI0ZE3vCTV8Y4BVeXlRmNz6E23wuI2N4BIKudHQxjjkUoa6RWfCzA9I7H360ZnI59hI&#10;O5oTl7tezpNESWc64g+tGfCpxXq/PTgN6/ts/fV6Sy8/m2qHu49qv5yPidbXV9PjA4iIU/wLwxmf&#10;0aFkpsofyAbRa1iolLdENtQdCA4s1FKBqFjIUpBlIf8vKH8BAAD//wMAUEsBAi0AFAAGAAgAAAAh&#10;ALaDOJL+AAAA4QEAABMAAAAAAAAAAAAAAAAAAAAAAFtDb250ZW50X1R5cGVzXS54bWxQSwECLQAU&#10;AAYACAAAACEAOP0h/9YAAACUAQAACwAAAAAAAAAAAAAAAAAvAQAAX3JlbHMvLnJlbHNQSwECLQAU&#10;AAYACAAAACEA/0/Sh+MBAACxAwAADgAAAAAAAAAAAAAAAAAuAgAAZHJzL2Uyb0RvYy54bWxQSwEC&#10;LQAUAAYACAAAACEA/YL2c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753D6D">
        <w:rPr>
          <w:spacing w:val="-2"/>
        </w:rPr>
        <w:t>Authorization</w:t>
      </w:r>
      <w:r w:rsidR="00753D6D">
        <w:rPr>
          <w:spacing w:val="-2"/>
          <w:position w:val="8"/>
          <w:sz w:val="16"/>
          <w:u w:val="none"/>
        </w:rPr>
        <w:t>i</w:t>
      </w:r>
    </w:p>
    <w:p w14:paraId="22EEA1EC" w14:textId="77777777" w:rsidR="00DD215A" w:rsidRDefault="00753D6D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99" w:line="293" w:lineRule="exact"/>
        <w:rPr>
          <w:sz w:val="24"/>
        </w:rPr>
      </w:pPr>
      <w:r>
        <w:rPr>
          <w:sz w:val="24"/>
        </w:rPr>
        <w:t>D.C.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§ 34-</w:t>
      </w:r>
      <w:r>
        <w:rPr>
          <w:spacing w:val="-5"/>
          <w:sz w:val="24"/>
        </w:rPr>
        <w:t>801</w:t>
      </w:r>
    </w:p>
    <w:p w14:paraId="22EEA1ED" w14:textId="77777777" w:rsidR="00DD215A" w:rsidRDefault="00753D6D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D.C.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§ 34-</w:t>
      </w:r>
      <w:r>
        <w:rPr>
          <w:spacing w:val="-5"/>
          <w:sz w:val="24"/>
        </w:rPr>
        <w:t>804</w:t>
      </w:r>
    </w:p>
    <w:p w14:paraId="22EEA1EE" w14:textId="77777777" w:rsidR="00DD215A" w:rsidRDefault="00753D6D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"/>
        <w:rPr>
          <w:sz w:val="24"/>
        </w:rPr>
      </w:pP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D.C.M.R. § </w:t>
      </w:r>
      <w:r>
        <w:rPr>
          <w:spacing w:val="-4"/>
          <w:sz w:val="24"/>
        </w:rPr>
        <w:t>3700</w:t>
      </w:r>
    </w:p>
    <w:p w14:paraId="22EEA1EF" w14:textId="77777777" w:rsidR="00DD215A" w:rsidRDefault="00DD215A">
      <w:pPr>
        <w:pStyle w:val="BodyText"/>
        <w:spacing w:before="3"/>
        <w:rPr>
          <w:sz w:val="41"/>
        </w:rPr>
      </w:pPr>
    </w:p>
    <w:p w14:paraId="22EEA1F0" w14:textId="77777777" w:rsidR="00DD215A" w:rsidRDefault="00753D6D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rPr>
          <w:u w:val="none"/>
        </w:rPr>
      </w:pPr>
      <w:r>
        <w:t>Minimum</w:t>
      </w:r>
      <w:r>
        <w:rPr>
          <w:spacing w:val="-3"/>
        </w:rPr>
        <w:t xml:space="preserve"> </w:t>
      </w:r>
      <w:r>
        <w:rPr>
          <w:spacing w:val="-4"/>
        </w:rPr>
        <w:t>Need</w:t>
      </w:r>
    </w:p>
    <w:p w14:paraId="22EEA1F1" w14:textId="307D8899" w:rsidR="00DD215A" w:rsidRDefault="00753D6D">
      <w:pPr>
        <w:pStyle w:val="BodyText"/>
        <w:spacing w:before="199"/>
        <w:ind w:left="119" w:right="114" w:firstLine="720"/>
        <w:jc w:val="both"/>
      </w:pPr>
      <w:r>
        <w:t xml:space="preserve">The Office of the People’s Counsel for the District of Columbia (“OPC” or “Office”) requests the services of Duncan &amp; Allen, LLP in providing professional legal counsel and </w:t>
      </w:r>
      <w:r w:rsidR="005F73F1">
        <w:t xml:space="preserve">recommendations to the People’s Counsel and the Deputy People’s Counsel as well as the Litigation Services Division on a variety of </w:t>
      </w:r>
      <w:r w:rsidR="00A40F4C">
        <w:t>utility-related</w:t>
      </w:r>
      <w:r w:rsidR="005F73F1">
        <w:t xml:space="preserve"> matters; including, but not limited to, assistance in responding to inquiries from the Council of the District of Columbia and other critical stakeholders that which would require a thorough and timely response.</w:t>
      </w:r>
    </w:p>
    <w:p w14:paraId="22EEA1F3" w14:textId="77777777" w:rsidR="00DD215A" w:rsidRDefault="00DD215A">
      <w:pPr>
        <w:pStyle w:val="BodyText"/>
        <w:spacing w:before="10"/>
        <w:rPr>
          <w:sz w:val="32"/>
        </w:rPr>
      </w:pPr>
    </w:p>
    <w:p w14:paraId="22EEA1F4" w14:textId="77777777" w:rsidR="00DD215A" w:rsidRDefault="00753D6D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rPr>
          <w:u w:val="none"/>
        </w:rPr>
      </w:pPr>
      <w:r>
        <w:t>Estimated</w:t>
      </w:r>
      <w:r>
        <w:rPr>
          <w:spacing w:val="-2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rPr>
          <w:spacing w:val="-4"/>
        </w:rPr>
        <w:t>Price</w:t>
      </w:r>
    </w:p>
    <w:p w14:paraId="22EEA1F5" w14:textId="563012BA" w:rsidR="00DD215A" w:rsidRDefault="00753D6D">
      <w:pPr>
        <w:pStyle w:val="BodyText"/>
        <w:spacing w:before="199"/>
        <w:ind w:left="840"/>
      </w:pP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contract (“</w:t>
      </w:r>
      <w:r w:rsidR="00A40F4C">
        <w:t>not–to–exceed</w:t>
      </w:r>
      <w:r>
        <w:t>”)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$1</w:t>
      </w:r>
      <w:r w:rsidR="005F73F1">
        <w:rPr>
          <w:spacing w:val="-2"/>
        </w:rPr>
        <w:t>2</w:t>
      </w:r>
      <w:r>
        <w:rPr>
          <w:spacing w:val="-2"/>
        </w:rPr>
        <w:t>,000.</w:t>
      </w:r>
    </w:p>
    <w:p w14:paraId="22EEA1F6" w14:textId="77777777" w:rsidR="00DD215A" w:rsidRDefault="00DD215A">
      <w:pPr>
        <w:pStyle w:val="BodyText"/>
        <w:rPr>
          <w:sz w:val="26"/>
        </w:rPr>
      </w:pPr>
    </w:p>
    <w:p w14:paraId="22EEA1F8" w14:textId="77777777" w:rsidR="00DD215A" w:rsidRDefault="00753D6D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rPr>
          <w:u w:val="none"/>
        </w:rPr>
      </w:pPr>
      <w:r>
        <w:t>Facts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Justify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Procurement</w:t>
      </w:r>
    </w:p>
    <w:p w14:paraId="22EEA1F9" w14:textId="73D341E4" w:rsidR="00DD215A" w:rsidRDefault="00753D6D">
      <w:pPr>
        <w:pStyle w:val="ListParagraph"/>
        <w:numPr>
          <w:ilvl w:val="0"/>
          <w:numId w:val="1"/>
        </w:numPr>
        <w:tabs>
          <w:tab w:val="left" w:pos="840"/>
        </w:tabs>
        <w:spacing w:before="200"/>
        <w:ind w:right="114"/>
        <w:jc w:val="both"/>
        <w:rPr>
          <w:sz w:val="24"/>
        </w:rPr>
      </w:pPr>
      <w:r>
        <w:rPr>
          <w:sz w:val="24"/>
        </w:rPr>
        <w:t>The Office of the People’s Counsel</w:t>
      </w:r>
      <w:r w:rsidR="005F73F1">
        <w:rPr>
          <w:sz w:val="24"/>
        </w:rPr>
        <w:t xml:space="preserve"> for the District of Columbia</w:t>
      </w:r>
      <w:r>
        <w:rPr>
          <w:sz w:val="24"/>
        </w:rPr>
        <w:t xml:space="preserve"> (“OPC” or “Office”) is an independent agency of the District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Columbia</w:t>
      </w:r>
      <w:r>
        <w:rPr>
          <w:spacing w:val="-8"/>
          <w:sz w:val="24"/>
        </w:rPr>
        <w:t xml:space="preserve"> </w:t>
      </w:r>
      <w:r>
        <w:rPr>
          <w:sz w:val="24"/>
        </w:rPr>
        <w:t>Government.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law,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 w:rsidR="00A40F4C">
        <w:rPr>
          <w:sz w:val="24"/>
        </w:rPr>
        <w:t>advocates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consumers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natural</w:t>
      </w:r>
      <w:r>
        <w:rPr>
          <w:spacing w:val="-7"/>
          <w:sz w:val="24"/>
        </w:rPr>
        <w:t xml:space="preserve"> </w:t>
      </w:r>
      <w:r>
        <w:rPr>
          <w:sz w:val="24"/>
        </w:rPr>
        <w:t>gas, electric</w:t>
      </w:r>
      <w:r w:rsidR="00A40F4C"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landline</w:t>
      </w:r>
      <w:r>
        <w:rPr>
          <w:spacing w:val="-15"/>
          <w:sz w:val="24"/>
        </w:rPr>
        <w:t xml:space="preserve"> </w:t>
      </w:r>
      <w:r>
        <w:rPr>
          <w:sz w:val="24"/>
        </w:rPr>
        <w:t>telephone</w:t>
      </w:r>
      <w:r>
        <w:rPr>
          <w:spacing w:val="-15"/>
          <w:sz w:val="24"/>
        </w:rPr>
        <w:t xml:space="preserve"> </w:t>
      </w:r>
      <w:r>
        <w:rPr>
          <w:sz w:val="24"/>
        </w:rPr>
        <w:t>services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District</w:t>
      </w:r>
      <w:proofErr w:type="gramEnd"/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District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Columbia</w:t>
      </w:r>
      <w:r>
        <w:rPr>
          <w:spacing w:val="-13"/>
          <w:sz w:val="24"/>
        </w:rPr>
        <w:t xml:space="preserve"> </w:t>
      </w:r>
      <w:r>
        <w:rPr>
          <w:sz w:val="24"/>
        </w:rPr>
        <w:t>law</w:t>
      </w:r>
      <w:r>
        <w:rPr>
          <w:spacing w:val="-15"/>
          <w:sz w:val="24"/>
        </w:rPr>
        <w:t xml:space="preserve"> </w:t>
      </w:r>
      <w:r>
        <w:rPr>
          <w:sz w:val="24"/>
        </w:rPr>
        <w:t>designates the</w:t>
      </w:r>
      <w:r>
        <w:rPr>
          <w:spacing w:val="-15"/>
          <w:sz w:val="24"/>
        </w:rPr>
        <w:t xml:space="preserve"> </w:t>
      </w:r>
      <w:r>
        <w:rPr>
          <w:sz w:val="24"/>
        </w:rPr>
        <w:t>Office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party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utility-related</w:t>
      </w:r>
      <w:r>
        <w:rPr>
          <w:spacing w:val="-15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5"/>
          <w:sz w:val="24"/>
        </w:rPr>
        <w:t xml:space="preserve"> </w:t>
      </w:r>
      <w:r>
        <w:rPr>
          <w:sz w:val="24"/>
        </w:rPr>
        <w:t>before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District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Columbia</w:t>
      </w:r>
      <w:r>
        <w:rPr>
          <w:spacing w:val="-15"/>
          <w:sz w:val="24"/>
        </w:rPr>
        <w:t xml:space="preserve"> </w:t>
      </w:r>
      <w:r>
        <w:rPr>
          <w:sz w:val="24"/>
        </w:rPr>
        <w:t>Public Service</w:t>
      </w:r>
      <w:r>
        <w:rPr>
          <w:spacing w:val="-6"/>
          <w:sz w:val="24"/>
        </w:rPr>
        <w:t xml:space="preserve"> </w:t>
      </w:r>
      <w:r>
        <w:rPr>
          <w:sz w:val="24"/>
        </w:rPr>
        <w:t>Commission</w:t>
      </w:r>
      <w:r>
        <w:rPr>
          <w:spacing w:val="-5"/>
          <w:sz w:val="24"/>
        </w:rPr>
        <w:t xml:space="preserve"> </w:t>
      </w:r>
      <w:r>
        <w:rPr>
          <w:sz w:val="24"/>
        </w:rPr>
        <w:t>(“PSC”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“DC</w:t>
      </w:r>
      <w:r>
        <w:rPr>
          <w:spacing w:val="-4"/>
          <w:sz w:val="24"/>
        </w:rPr>
        <w:t xml:space="preserve"> </w:t>
      </w:r>
      <w:r>
        <w:rPr>
          <w:sz w:val="24"/>
        </w:rPr>
        <w:t>PSC”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“Commission”).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represents the interests of District ratepayers before federal regulatory agencies.</w:t>
      </w:r>
      <w:r>
        <w:rPr>
          <w:spacing w:val="40"/>
          <w:sz w:val="24"/>
        </w:rPr>
        <w:t xml:space="preserve"> </w:t>
      </w:r>
      <w:r>
        <w:rPr>
          <w:sz w:val="24"/>
        </w:rPr>
        <w:t>The Office is authorized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operation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valuation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utility</w:t>
      </w:r>
      <w:r>
        <w:rPr>
          <w:spacing w:val="-9"/>
          <w:sz w:val="24"/>
        </w:rPr>
        <w:t xml:space="preserve"> </w:t>
      </w:r>
      <w:r>
        <w:rPr>
          <w:sz w:val="24"/>
        </w:rPr>
        <w:t>companies</w:t>
      </w:r>
      <w:r>
        <w:rPr>
          <w:spacing w:val="-9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9"/>
          <w:sz w:val="24"/>
        </w:rPr>
        <w:t xml:space="preserve"> </w:t>
      </w:r>
      <w:r>
        <w:rPr>
          <w:sz w:val="24"/>
        </w:rPr>
        <w:t>of any pending proceedings.</w:t>
      </w:r>
    </w:p>
    <w:p w14:paraId="22EEA1FA" w14:textId="77777777" w:rsidR="00DD215A" w:rsidRDefault="00DD215A">
      <w:pPr>
        <w:pStyle w:val="BodyText"/>
      </w:pPr>
    </w:p>
    <w:p w14:paraId="22EEA1FE" w14:textId="5763CB27" w:rsidR="00DD215A" w:rsidRPr="005F73F1" w:rsidRDefault="00753D6D" w:rsidP="005F73F1">
      <w:pPr>
        <w:pStyle w:val="ListParagraph"/>
        <w:numPr>
          <w:ilvl w:val="0"/>
          <w:numId w:val="1"/>
        </w:numPr>
        <w:tabs>
          <w:tab w:val="left" w:pos="840"/>
        </w:tabs>
        <w:ind w:left="839" w:right="114"/>
        <w:jc w:val="both"/>
      </w:pPr>
      <w:r>
        <w:rPr>
          <w:sz w:val="24"/>
        </w:rPr>
        <w:t>The Office of the People’s Counsel already has an established contract with Duncan &amp; Allen, LLP to retain their legal services and expertise in representing the Office’s interests in all utility-related matters.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At this time, OPC believes that a contract amendment is needed to secure further funding </w:t>
      </w:r>
      <w:r w:rsidR="00733759" w:rsidRPr="00733759">
        <w:rPr>
          <w:sz w:val="24"/>
        </w:rPr>
        <w:t xml:space="preserve">to retain their legal counsel and services </w:t>
      </w:r>
      <w:r w:rsidR="00733759">
        <w:rPr>
          <w:sz w:val="24"/>
        </w:rPr>
        <w:t>about</w:t>
      </w:r>
      <w:r w:rsidR="002A2655">
        <w:rPr>
          <w:sz w:val="24"/>
        </w:rPr>
        <w:t xml:space="preserve"> OPC’s petition </w:t>
      </w:r>
      <w:r w:rsidR="00733759">
        <w:rPr>
          <w:sz w:val="24"/>
        </w:rPr>
        <w:t>to investigate</w:t>
      </w:r>
      <w:r w:rsidR="002A2655">
        <w:rPr>
          <w:sz w:val="24"/>
        </w:rPr>
        <w:t xml:space="preserve"> generator interconnection rules and some limited work about Verizon’s price cap plan.</w:t>
      </w:r>
    </w:p>
    <w:p w14:paraId="4CC1A6EB" w14:textId="77777777" w:rsidR="005F73F1" w:rsidRDefault="005F73F1" w:rsidP="005F73F1">
      <w:pPr>
        <w:pStyle w:val="ListParagraph"/>
      </w:pPr>
    </w:p>
    <w:p w14:paraId="46FC0110" w14:textId="77777777" w:rsidR="005F73F1" w:rsidRDefault="005F73F1" w:rsidP="005F73F1">
      <w:pPr>
        <w:pStyle w:val="ListParagraph"/>
        <w:tabs>
          <w:tab w:val="left" w:pos="840"/>
        </w:tabs>
        <w:ind w:left="839" w:right="114" w:firstLine="0"/>
        <w:jc w:val="both"/>
      </w:pPr>
    </w:p>
    <w:p w14:paraId="22EEA1FF" w14:textId="544BAF53" w:rsidR="00DD215A" w:rsidRDefault="00753D6D">
      <w:pPr>
        <w:pStyle w:val="ListParagraph"/>
        <w:numPr>
          <w:ilvl w:val="0"/>
          <w:numId w:val="1"/>
        </w:numPr>
        <w:tabs>
          <w:tab w:val="left" w:pos="840"/>
        </w:tabs>
        <w:ind w:left="839" w:right="115"/>
        <w:jc w:val="both"/>
        <w:rPr>
          <w:sz w:val="24"/>
        </w:rPr>
      </w:pPr>
      <w:r>
        <w:rPr>
          <w:sz w:val="24"/>
        </w:rPr>
        <w:t>Duncan &amp; Allen, LLP provides legal services—</w:t>
      </w:r>
      <w:r w:rsidR="009F4ECF">
        <w:rPr>
          <w:sz w:val="24"/>
        </w:rPr>
        <w:t>mainly</w:t>
      </w:r>
      <w:r>
        <w:rPr>
          <w:sz w:val="24"/>
        </w:rPr>
        <w:t xml:space="preserve"> </w:t>
      </w:r>
      <w:r w:rsidR="009F4ECF" w:rsidRPr="009F4ECF">
        <w:rPr>
          <w:sz w:val="24"/>
        </w:rPr>
        <w:t>representing state consumer advocates' needs</w:t>
      </w:r>
      <w:r>
        <w:rPr>
          <w:sz w:val="24"/>
        </w:rPr>
        <w:t xml:space="preserve">, municipally </w:t>
      </w:r>
      <w:r w:rsidR="009A49E5">
        <w:rPr>
          <w:sz w:val="24"/>
        </w:rPr>
        <w:t>owned,</w:t>
      </w:r>
      <w:r>
        <w:rPr>
          <w:sz w:val="24"/>
        </w:rPr>
        <w:t xml:space="preserve"> and cooperatively owned electric utilities, and other regulatory and public entities.</w:t>
      </w:r>
      <w:r>
        <w:rPr>
          <w:spacing w:val="80"/>
          <w:sz w:val="24"/>
        </w:rPr>
        <w:t xml:space="preserve"> </w:t>
      </w:r>
      <w:r>
        <w:rPr>
          <w:sz w:val="24"/>
        </w:rPr>
        <w:t>The attorneys at Duncan &amp; Allen, LLP are experienced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familiar</w:t>
      </w:r>
      <w:r>
        <w:rPr>
          <w:spacing w:val="-7"/>
          <w:sz w:val="24"/>
        </w:rPr>
        <w:t xml:space="preserve"> </w:t>
      </w:r>
      <w:r w:rsidR="009F4ECF"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addressing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concerns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Office</w:t>
      </w:r>
      <w:r>
        <w:rPr>
          <w:spacing w:val="-9"/>
          <w:sz w:val="24"/>
        </w:rPr>
        <w:t xml:space="preserve"> </w:t>
      </w:r>
      <w:r>
        <w:rPr>
          <w:sz w:val="24"/>
        </w:rPr>
        <w:t>based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longstanding relationship assisting the Office in such matters </w:t>
      </w:r>
      <w:r w:rsidR="009F4ECF" w:rsidRPr="009F4ECF">
        <w:rPr>
          <w:sz w:val="24"/>
        </w:rPr>
        <w:t>makes them uniquely qualified based on their experience and understanding of the tasks</w:t>
      </w:r>
      <w:r>
        <w:rPr>
          <w:sz w:val="24"/>
        </w:rPr>
        <w:t>.</w:t>
      </w:r>
    </w:p>
    <w:p w14:paraId="5716CDAE" w14:textId="77777777" w:rsidR="005F73F1" w:rsidRDefault="005F73F1" w:rsidP="005F73F1">
      <w:pPr>
        <w:pStyle w:val="ListParagraph"/>
        <w:tabs>
          <w:tab w:val="left" w:pos="840"/>
        </w:tabs>
        <w:ind w:left="839" w:right="115" w:firstLine="0"/>
        <w:jc w:val="both"/>
        <w:rPr>
          <w:sz w:val="24"/>
        </w:rPr>
      </w:pPr>
    </w:p>
    <w:p w14:paraId="22EEA200" w14:textId="77777777" w:rsidR="00DD215A" w:rsidRDefault="00DD215A">
      <w:pPr>
        <w:pStyle w:val="BodyText"/>
      </w:pPr>
    </w:p>
    <w:p w14:paraId="22EEA201" w14:textId="00A834A6" w:rsidR="00DD215A" w:rsidRDefault="00753D6D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ind w:left="839" w:right="134"/>
        <w:rPr>
          <w:sz w:val="24"/>
        </w:rPr>
      </w:pPr>
      <w:r>
        <w:rPr>
          <w:sz w:val="24"/>
        </w:rPr>
        <w:t>Given Duncan &amp; Allen, LLP’s expertise in overseeing the legal interests of the Office</w:t>
      </w:r>
      <w:r>
        <w:rPr>
          <w:spacing w:val="40"/>
          <w:sz w:val="24"/>
        </w:rPr>
        <w:t xml:space="preserve"> </w:t>
      </w:r>
      <w:r>
        <w:rPr>
          <w:sz w:val="24"/>
        </w:rPr>
        <w:t>and derivatively that of District utility ratepayers</w:t>
      </w:r>
      <w:r w:rsidR="009F4ECF">
        <w:rPr>
          <w:sz w:val="24"/>
        </w:rPr>
        <w:t>,</w:t>
      </w:r>
      <w:r>
        <w:rPr>
          <w:sz w:val="24"/>
        </w:rPr>
        <w:t xml:space="preserve"> and given their longstanding working relationship with the Office in providing expert legal services, </w:t>
      </w:r>
      <w:r w:rsidR="009A49E5">
        <w:rPr>
          <w:sz w:val="24"/>
        </w:rPr>
        <w:t>they are</w:t>
      </w:r>
      <w:r>
        <w:rPr>
          <w:sz w:val="24"/>
        </w:rPr>
        <w:t xml:space="preserve"> uniquely and exclusively qualified to handle any issue that would and/or could potentially arise that would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prompt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review.</w:t>
      </w:r>
      <w:r>
        <w:rPr>
          <w:spacing w:val="40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complexity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issues at hand</w:t>
      </w:r>
      <w:r w:rsidR="009A49E5">
        <w:rPr>
          <w:sz w:val="24"/>
        </w:rPr>
        <w:t xml:space="preserve"> and </w:t>
      </w:r>
      <w:r>
        <w:rPr>
          <w:sz w:val="24"/>
        </w:rPr>
        <w:t xml:space="preserve">the familiarity of the tasks to be performed </w:t>
      </w:r>
      <w:r w:rsidR="009A49E5">
        <w:rPr>
          <w:sz w:val="24"/>
        </w:rPr>
        <w:t>within</w:t>
      </w:r>
      <w:r>
        <w:rPr>
          <w:sz w:val="24"/>
        </w:rPr>
        <w:t xml:space="preserve"> the timeframe required</w:t>
      </w:r>
      <w:r w:rsidR="009A49E5">
        <w:rPr>
          <w:sz w:val="24"/>
        </w:rPr>
        <w:t>,</w:t>
      </w:r>
      <w:r>
        <w:rPr>
          <w:sz w:val="24"/>
        </w:rPr>
        <w:t xml:space="preserve"> OPC believes it is justified in awarding a sole source contract to Duncan &amp; Allen, LLP </w:t>
      </w:r>
      <w:r w:rsidR="009A49E5" w:rsidRPr="009A49E5">
        <w:rPr>
          <w:sz w:val="24"/>
        </w:rPr>
        <w:t>to retain their legal advice and recommendations further</w:t>
      </w:r>
      <w:r>
        <w:rPr>
          <w:sz w:val="24"/>
        </w:rPr>
        <w:t>.</w:t>
      </w:r>
    </w:p>
    <w:p w14:paraId="22EEA202" w14:textId="77777777" w:rsidR="00DD215A" w:rsidRDefault="00DD215A">
      <w:pPr>
        <w:pStyle w:val="BodyText"/>
      </w:pPr>
    </w:p>
    <w:p w14:paraId="22EEA203" w14:textId="77777777" w:rsidR="00DD215A" w:rsidRDefault="00753D6D">
      <w:pPr>
        <w:pStyle w:val="ListParagraph"/>
        <w:numPr>
          <w:ilvl w:val="0"/>
          <w:numId w:val="1"/>
        </w:numPr>
        <w:tabs>
          <w:tab w:val="left" w:pos="840"/>
        </w:tabs>
        <w:ind w:left="839" w:right="119"/>
        <w:jc w:val="both"/>
        <w:rPr>
          <w:sz w:val="24"/>
        </w:rPr>
      </w:pPr>
      <w:r>
        <w:rPr>
          <w:sz w:val="24"/>
        </w:rPr>
        <w:t>It is for the reasons outlined herein that it is recommended that a sole source contract be awarded to Duncan &amp; Allen, LLP.</w:t>
      </w:r>
    </w:p>
    <w:p w14:paraId="22EEA204" w14:textId="77777777" w:rsidR="00DD215A" w:rsidRDefault="00DD215A">
      <w:pPr>
        <w:pStyle w:val="BodyText"/>
        <w:rPr>
          <w:sz w:val="26"/>
        </w:rPr>
      </w:pPr>
    </w:p>
    <w:p w14:paraId="22EEA205" w14:textId="77777777" w:rsidR="00DD215A" w:rsidRDefault="00753D6D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spacing w:before="177"/>
        <w:rPr>
          <w:u w:val="none"/>
        </w:rPr>
      </w:pPr>
      <w:r>
        <w:t>Certification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Contracting</w:t>
      </w:r>
      <w:r>
        <w:rPr>
          <w:spacing w:val="-2"/>
        </w:rPr>
        <w:t xml:space="preserve"> Officer</w:t>
      </w:r>
    </w:p>
    <w:p w14:paraId="22EEA206" w14:textId="77777777" w:rsidR="00DD215A" w:rsidRDefault="00753D6D">
      <w:pPr>
        <w:pStyle w:val="BodyText"/>
        <w:spacing w:before="199"/>
        <w:ind w:left="120"/>
      </w:pP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facts</w:t>
      </w:r>
      <w:r>
        <w:rPr>
          <w:spacing w:val="1"/>
        </w:rPr>
        <w:t xml:space="preserve"> </w:t>
      </w:r>
      <w:r>
        <w:t>are accurate and</w:t>
      </w:r>
      <w:r>
        <w:rPr>
          <w:spacing w:val="-1"/>
        </w:rPr>
        <w:t xml:space="preserve"> </w:t>
      </w:r>
      <w:r>
        <w:rPr>
          <w:spacing w:val="-2"/>
        </w:rPr>
        <w:t>complete.</w:t>
      </w:r>
    </w:p>
    <w:p w14:paraId="22EEA207" w14:textId="77777777" w:rsidR="00DD215A" w:rsidRDefault="00DD215A">
      <w:pPr>
        <w:pStyle w:val="BodyText"/>
        <w:rPr>
          <w:sz w:val="20"/>
        </w:rPr>
      </w:pPr>
    </w:p>
    <w:p w14:paraId="22EEA208" w14:textId="77777777" w:rsidR="00DD215A" w:rsidRDefault="00DD215A">
      <w:pPr>
        <w:pStyle w:val="BodyText"/>
        <w:rPr>
          <w:sz w:val="20"/>
        </w:rPr>
      </w:pPr>
    </w:p>
    <w:p w14:paraId="22EEA20A" w14:textId="77777777" w:rsidR="00DD215A" w:rsidRDefault="00DD215A">
      <w:pPr>
        <w:pStyle w:val="BodyText"/>
        <w:rPr>
          <w:sz w:val="20"/>
        </w:rPr>
      </w:pPr>
    </w:p>
    <w:p w14:paraId="22EEA20D" w14:textId="02885C5A" w:rsidR="00DD215A" w:rsidRDefault="005F73F1">
      <w:pPr>
        <w:pStyle w:val="BodyText"/>
        <w:spacing w:before="2"/>
        <w:rPr>
          <w:rFonts w:ascii="Arial"/>
          <w:sz w:val="8"/>
        </w:rPr>
      </w:pPr>
      <w:r>
        <w:rPr>
          <w:sz w:val="22"/>
          <w:szCs w:val="22"/>
        </w:rPr>
        <w:t xml:space="preserve">_______________________                                                      __________________                                                     </w:t>
      </w:r>
    </w:p>
    <w:p w14:paraId="1BC3530C" w14:textId="041A6756" w:rsidR="005F73F1" w:rsidRDefault="005F73F1" w:rsidP="005F73F1">
      <w:pPr>
        <w:pStyle w:val="BodyText"/>
        <w:tabs>
          <w:tab w:val="left" w:pos="5879"/>
        </w:tabs>
      </w:pPr>
      <w:r>
        <w:t>Cherry Belle                                                                       Date</w:t>
      </w:r>
      <w:r w:rsidR="00753D6D">
        <w:tab/>
      </w:r>
    </w:p>
    <w:p w14:paraId="22EEA20F" w14:textId="1A5075C9" w:rsidR="00DD215A" w:rsidRDefault="00753D6D" w:rsidP="005F73F1">
      <w:pPr>
        <w:pStyle w:val="BodyText"/>
        <w:tabs>
          <w:tab w:val="left" w:pos="5879"/>
        </w:tabs>
      </w:pPr>
      <w:r>
        <w:t>Contracting</w:t>
      </w:r>
      <w:r>
        <w:rPr>
          <w:spacing w:val="-3"/>
        </w:rPr>
        <w:t xml:space="preserve"> </w:t>
      </w:r>
      <w:r>
        <w:rPr>
          <w:spacing w:val="-2"/>
        </w:rPr>
        <w:t>Officer</w:t>
      </w:r>
    </w:p>
    <w:p w14:paraId="22EEA210" w14:textId="77777777" w:rsidR="00DD215A" w:rsidRDefault="00DD215A">
      <w:pPr>
        <w:pStyle w:val="BodyText"/>
        <w:rPr>
          <w:sz w:val="26"/>
        </w:rPr>
      </w:pPr>
    </w:p>
    <w:p w14:paraId="22EEA213" w14:textId="77777777" w:rsidR="00DD215A" w:rsidRDefault="00753D6D">
      <w:pPr>
        <w:pStyle w:val="Heading1"/>
        <w:ind w:right="2839"/>
      </w:pPr>
      <w:r>
        <w:rPr>
          <w:spacing w:val="-2"/>
        </w:rPr>
        <w:t>DETERMINATION</w:t>
      </w:r>
    </w:p>
    <w:p w14:paraId="22EEA214" w14:textId="77777777" w:rsidR="00DD215A" w:rsidRDefault="00DD215A">
      <w:pPr>
        <w:pStyle w:val="BodyText"/>
        <w:rPr>
          <w:b/>
        </w:rPr>
      </w:pPr>
    </w:p>
    <w:p w14:paraId="22EEA215" w14:textId="77777777" w:rsidR="00DD215A" w:rsidRDefault="00753D6D">
      <w:pPr>
        <w:ind w:left="120"/>
        <w:rPr>
          <w:i/>
          <w:sz w:val="24"/>
        </w:rPr>
      </w:pP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findings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Columbia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procurement regulations: </w:t>
      </w:r>
      <w:r>
        <w:rPr>
          <w:i/>
          <w:sz w:val="24"/>
        </w:rPr>
        <w:t xml:space="preserve">DC Law: 34-804; DC Law: 34-801; </w:t>
      </w:r>
      <w:r>
        <w:rPr>
          <w:sz w:val="24"/>
        </w:rPr>
        <w:t xml:space="preserve">and </w:t>
      </w:r>
      <w:r>
        <w:rPr>
          <w:i/>
          <w:sz w:val="24"/>
        </w:rPr>
        <w:t>15 D.C.M.R. §3700,</w:t>
      </w:r>
    </w:p>
    <w:p w14:paraId="22EEA216" w14:textId="77777777" w:rsidR="00DD215A" w:rsidRDefault="00753D6D">
      <w:pPr>
        <w:pStyle w:val="BodyText"/>
        <w:ind w:left="120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 described</w:t>
      </w:r>
      <w:r>
        <w:rPr>
          <w:spacing w:val="-2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 the best interest of the Office of the People’s Counsel.</w:t>
      </w:r>
    </w:p>
    <w:p w14:paraId="477571C9" w14:textId="77777777" w:rsidR="00DD215A" w:rsidRDefault="00DD215A"/>
    <w:p w14:paraId="7FE6AF46" w14:textId="77777777" w:rsidR="005F73F1" w:rsidRDefault="005F73F1"/>
    <w:p w14:paraId="22EEA218" w14:textId="1840B708" w:rsidR="00DD215A" w:rsidRDefault="005F73F1">
      <w:pPr>
        <w:pStyle w:val="BodyText"/>
        <w:spacing w:before="1"/>
        <w:rPr>
          <w:sz w:val="22"/>
        </w:rPr>
      </w:pPr>
      <w:r>
        <w:rPr>
          <w:sz w:val="22"/>
        </w:rPr>
        <w:t xml:space="preserve"> ________________________                                                         ____________________</w:t>
      </w:r>
    </w:p>
    <w:p w14:paraId="22EEA21A" w14:textId="455457F1" w:rsidR="00DD215A" w:rsidRDefault="005F73F1">
      <w:pPr>
        <w:pStyle w:val="BodyText"/>
        <w:tabs>
          <w:tab w:val="left" w:pos="5879"/>
        </w:tabs>
        <w:ind w:left="120"/>
      </w:pPr>
      <w:r>
        <w:t>Naunihal Gumer</w:t>
      </w:r>
      <w:r w:rsidR="00753D6D">
        <w:tab/>
      </w:r>
      <w:r w:rsidR="00753D6D">
        <w:rPr>
          <w:spacing w:val="-4"/>
        </w:rPr>
        <w:t>Date</w:t>
      </w:r>
    </w:p>
    <w:p w14:paraId="22EEA21B" w14:textId="47E6AB08" w:rsidR="00DD215A" w:rsidRDefault="005F73F1">
      <w:pPr>
        <w:pStyle w:val="BodyText"/>
        <w:ind w:left="120"/>
      </w:pPr>
      <w:r>
        <w:t>Director, Regulatory Finance</w:t>
      </w:r>
    </w:p>
    <w:p w14:paraId="22EEA21C" w14:textId="77777777" w:rsidR="00DD215A" w:rsidRDefault="00DD215A">
      <w:pPr>
        <w:pStyle w:val="BodyText"/>
        <w:rPr>
          <w:sz w:val="20"/>
        </w:rPr>
      </w:pPr>
    </w:p>
    <w:p w14:paraId="22EEA21D" w14:textId="77777777" w:rsidR="00DD215A" w:rsidRDefault="00DD215A">
      <w:pPr>
        <w:pStyle w:val="BodyText"/>
        <w:rPr>
          <w:sz w:val="20"/>
        </w:rPr>
      </w:pPr>
    </w:p>
    <w:p w14:paraId="22EEA21E" w14:textId="77777777" w:rsidR="00DD215A" w:rsidRDefault="00DD215A">
      <w:pPr>
        <w:pStyle w:val="BodyText"/>
        <w:rPr>
          <w:sz w:val="20"/>
        </w:rPr>
      </w:pPr>
    </w:p>
    <w:sectPr w:rsidR="00DD215A">
      <w:pgSz w:w="12240" w:h="15840"/>
      <w:pgMar w:top="16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BA7"/>
    <w:multiLevelType w:val="hybridMultilevel"/>
    <w:tmpl w:val="BA2CDAD2"/>
    <w:lvl w:ilvl="0" w:tplc="6A62D0F8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84795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F4A17D8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42FAC34E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26CA9282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F8904A86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568EF9CE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02443EE4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3FA6111E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C53B23"/>
    <w:multiLevelType w:val="hybridMultilevel"/>
    <w:tmpl w:val="E8E4FCA6"/>
    <w:lvl w:ilvl="0" w:tplc="2A905BC4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BC6A65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F1B67DC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1C12481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168651F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38EC163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DD41FE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DF7C2A8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3B1C2F5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5A"/>
    <w:rsid w:val="00284059"/>
    <w:rsid w:val="002A2655"/>
    <w:rsid w:val="005F73F1"/>
    <w:rsid w:val="00733759"/>
    <w:rsid w:val="00753D6D"/>
    <w:rsid w:val="009A49E5"/>
    <w:rsid w:val="009F4ECF"/>
    <w:rsid w:val="00A40F4C"/>
    <w:rsid w:val="00D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A1E7"/>
  <w15:docId w15:val="{B4078F60-862A-4415-9B91-02AE5EC9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39" w:right="28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3469</Characters>
  <Application>Microsoft Office Word</Application>
  <DocSecurity>4</DocSecurity>
  <Lines>84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Smith</dc:creator>
  <cp:lastModifiedBy>Naunihal Sigh Gumer</cp:lastModifiedBy>
  <cp:revision>2</cp:revision>
  <dcterms:created xsi:type="dcterms:W3CDTF">2023-07-12T15:53:00Z</dcterms:created>
  <dcterms:modified xsi:type="dcterms:W3CDTF">2023-07-12T15:53:00Z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2023-06-21T00:00:00Z</vt:filetime>
  </property>
  <property fmtid="{D5CDD505-2E9C-101B-9397-08002B2CF9AE}" pid="6" name="GrammarlyDocumentId">
    <vt:lpwstr>1645fc7de77e874a2378e4cede7841fffbe728cb195f0b8ff6925b2a3688220b</vt:lpwstr>
  </property>
</Properties>
</file>